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99A" w:rsidR="00A7296E" w:rsidP="000A3C8E" w:rsidRDefault="00A7296E" w14:paraId="1A89C276" w14:textId="77777777">
      <w:pPr>
        <w:pStyle w:val="NoSpacing"/>
        <w:jc w:val="center"/>
        <w:rPr>
          <w:rFonts w:cs="Arial"/>
          <w:b/>
          <w:bCs/>
          <w:sz w:val="24"/>
          <w:szCs w:val="24"/>
        </w:rPr>
      </w:pPr>
      <w:r w:rsidRPr="0063599A">
        <w:rPr>
          <w:rFonts w:cs="Arial"/>
          <w:b/>
          <w:bCs/>
          <w:sz w:val="24"/>
          <w:szCs w:val="24"/>
        </w:rPr>
        <w:t>Florida Real Property and Business Litigation Report</w:t>
      </w:r>
    </w:p>
    <w:p w:rsidRPr="0063599A" w:rsidR="00A7296E" w:rsidP="000A3C8E" w:rsidRDefault="00A7296E" w14:paraId="3CFA35AC" w14:textId="2A041FC2">
      <w:pPr>
        <w:pStyle w:val="NoSpacing"/>
        <w:jc w:val="center"/>
        <w:rPr>
          <w:rFonts w:cs="Arial"/>
          <w:b/>
          <w:bCs/>
          <w:sz w:val="24"/>
          <w:szCs w:val="24"/>
        </w:rPr>
      </w:pPr>
      <w:r w:rsidRPr="0063599A">
        <w:rPr>
          <w:rFonts w:cs="Arial"/>
          <w:b/>
          <w:bCs/>
          <w:sz w:val="24"/>
          <w:szCs w:val="24"/>
        </w:rPr>
        <w:t>Manuel Farach</w:t>
      </w:r>
    </w:p>
    <w:p w:rsidRPr="0063599A" w:rsidR="00BB18FA" w:rsidP="000A3C8E" w:rsidRDefault="00BB18FA" w14:paraId="7B430C52" w14:textId="220116AE">
      <w:pPr>
        <w:pStyle w:val="NoSpacing"/>
        <w:jc w:val="center"/>
        <w:rPr>
          <w:rFonts w:cs="Arial"/>
          <w:sz w:val="24"/>
          <w:szCs w:val="24"/>
        </w:rPr>
      </w:pPr>
    </w:p>
    <w:p w:rsidRPr="0063599A" w:rsidR="00223533" w:rsidP="00223533" w:rsidRDefault="00223533" w14:paraId="5FAE0C19" w14:textId="77777777">
      <w:pPr>
        <w:pStyle w:val="NoSpacing"/>
        <w:rPr>
          <w:rStyle w:val="normaltextrun"/>
          <w:rFonts w:cs="Arial"/>
          <w:sz w:val="24"/>
          <w:szCs w:val="24"/>
        </w:rPr>
      </w:pPr>
      <w:r w:rsidRPr="0063599A">
        <w:rPr>
          <w:rStyle w:val="normaltextrun"/>
          <w:rFonts w:cs="Arial"/>
          <w:b/>
          <w:bCs/>
          <w:sz w:val="24"/>
          <w:szCs w:val="24"/>
        </w:rPr>
        <w:t>Berk v. Choy</w:t>
      </w:r>
      <w:r w:rsidRPr="0063599A">
        <w:rPr>
          <w:rStyle w:val="normaltextrun"/>
          <w:rFonts w:cs="Arial"/>
          <w:sz w:val="24"/>
          <w:szCs w:val="24"/>
        </w:rPr>
        <w:t>, Case No. 24-440 (2026).</w:t>
      </w:r>
    </w:p>
    <w:p w:rsidRPr="0063599A" w:rsidR="00223533" w:rsidP="00223533" w:rsidRDefault="00223533" w14:paraId="7AC36276" w14:textId="77777777">
      <w:pPr>
        <w:pStyle w:val="NoSpacing"/>
        <w:rPr>
          <w:rStyle w:val="normaltextrun"/>
          <w:rFonts w:cs="Arial"/>
          <w:sz w:val="24"/>
          <w:szCs w:val="24"/>
        </w:rPr>
      </w:pPr>
      <w:r w:rsidRPr="0063599A">
        <w:rPr>
          <w:rStyle w:val="normaltextrun"/>
          <w:rFonts w:cs="Arial"/>
          <w:sz w:val="24"/>
          <w:szCs w:val="24"/>
        </w:rPr>
        <w:t>Rule 8 of the Federal Rules of Civil Procedure displaces Delaware’s medical-malpractice affidavit-of-merit requirement in federal diversity actions, so failure to file a state-law required affidavit cannot justify dismissal of a complaint that otherwise states a plausible claim for relief.</w:t>
      </w:r>
    </w:p>
    <w:p w:rsidRPr="0063599A" w:rsidR="00223533" w:rsidP="00223533" w:rsidRDefault="00223533" w14:paraId="34A545D9" w14:textId="77777777">
      <w:pPr>
        <w:pStyle w:val="NoSpacing"/>
        <w:rPr>
          <w:rStyle w:val="normaltextrun"/>
          <w:rFonts w:cs="Arial"/>
          <w:sz w:val="24"/>
          <w:szCs w:val="24"/>
        </w:rPr>
      </w:pPr>
    </w:p>
    <w:p w:rsidRPr="0063599A" w:rsidR="00223533" w:rsidP="00223533" w:rsidRDefault="00223533" w14:paraId="43756EC6" w14:textId="77777777">
      <w:pPr>
        <w:pStyle w:val="NoSpacing"/>
        <w:rPr>
          <w:rStyle w:val="normaltextrun"/>
          <w:rFonts w:cs="Arial"/>
          <w:sz w:val="24"/>
          <w:szCs w:val="24"/>
        </w:rPr>
      </w:pPr>
      <w:r w:rsidRPr="0063599A">
        <w:rPr>
          <w:rStyle w:val="normaltextrun"/>
          <w:rFonts w:cs="Arial"/>
          <w:b/>
          <w:bCs/>
          <w:sz w:val="24"/>
          <w:szCs w:val="24"/>
        </w:rPr>
        <w:t>In re The Renco Group Inc. &amp; The Doe Run Resources Corp.</w:t>
      </w:r>
      <w:r w:rsidRPr="0063599A">
        <w:rPr>
          <w:rStyle w:val="normaltextrun"/>
          <w:rFonts w:cs="Arial"/>
          <w:sz w:val="24"/>
          <w:szCs w:val="24"/>
        </w:rPr>
        <w:t>, Case No. 24-13266, No. 24-13266 (11th Cir. 2026).</w:t>
      </w:r>
    </w:p>
    <w:p w:rsidRPr="0063599A" w:rsidR="00223533" w:rsidP="00223533" w:rsidRDefault="00223533" w14:paraId="401603AF" w14:textId="77777777">
      <w:pPr>
        <w:pStyle w:val="NoSpacing"/>
        <w:rPr>
          <w:rStyle w:val="normaltextrun"/>
          <w:rFonts w:cs="Arial"/>
          <w:sz w:val="24"/>
          <w:szCs w:val="24"/>
        </w:rPr>
      </w:pPr>
      <w:r w:rsidRPr="0063599A">
        <w:rPr>
          <w:rStyle w:val="normaltextrun"/>
          <w:rFonts w:cs="Arial"/>
          <w:sz w:val="24"/>
          <w:szCs w:val="24"/>
        </w:rPr>
        <w:t>A law firm asserting attorney-client privilege or work-product protection in a 28 U.S.C. § 1782 (assistance to foreign and international tribunals and to litigants before such tribunals) proceeding must substantiate the claim on a document-by-document basis with an adequate privilege log and supporting evidence, and deficient, categorical assertions for mixed sets of documents forfeit protection even after production because meaningful relief remains available.</w:t>
      </w:r>
    </w:p>
    <w:p w:rsidRPr="0063599A" w:rsidR="00223533" w:rsidP="00223533" w:rsidRDefault="00223533" w14:paraId="15606202" w14:textId="77777777">
      <w:pPr>
        <w:pStyle w:val="NoSpacing"/>
        <w:rPr>
          <w:rStyle w:val="normaltextrun"/>
          <w:rFonts w:cs="Arial"/>
          <w:sz w:val="24"/>
          <w:szCs w:val="24"/>
        </w:rPr>
      </w:pPr>
    </w:p>
    <w:p w:rsidRPr="0063599A" w:rsidR="006C5070" w:rsidP="00223533" w:rsidRDefault="006C5070" w14:paraId="459CBD43" w14:textId="2798361B">
      <w:pPr>
        <w:pStyle w:val="NoSpacing"/>
        <w:rPr>
          <w:rFonts w:cs="Arial"/>
          <w:sz w:val="24"/>
          <w:szCs w:val="24"/>
        </w:rPr>
      </w:pPr>
      <w:r w:rsidRPr="0063599A">
        <w:rPr>
          <w:rStyle w:val="normaltextrun"/>
          <w:rFonts w:cs="Arial"/>
          <w:b/>
          <w:bCs/>
          <w:sz w:val="24"/>
          <w:szCs w:val="24"/>
        </w:rPr>
        <w:t>SEC v. Spartan Securities Group, Ltd.</w:t>
      </w:r>
      <w:r w:rsidRPr="0063599A">
        <w:rPr>
          <w:rStyle w:val="normaltextrun"/>
          <w:rFonts w:cs="Arial"/>
          <w:sz w:val="24"/>
          <w:szCs w:val="24"/>
        </w:rPr>
        <w:t>, Case No. 22-13129 (11th Cir. 2026).</w:t>
      </w:r>
      <w:r w:rsidRPr="0063599A">
        <w:rPr>
          <w:rStyle w:val="eop"/>
          <w:rFonts w:cs="Arial"/>
          <w:sz w:val="24"/>
          <w:szCs w:val="24"/>
        </w:rPr>
        <w:t> </w:t>
      </w:r>
    </w:p>
    <w:p w:rsidRPr="0063599A" w:rsidR="006C5070" w:rsidP="006C5070" w:rsidRDefault="006C5070" w14:paraId="3B5A296F"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rPr>
        <w:t xml:space="preserve">Expert witness with forty years of securities regulation experience, including service as NASDAQ chief regulatory officer and oversight of hundreds of NASD microcap fraud investigations involving transfer agents, possesses sufficient qualifications and reliability under </w:t>
      </w:r>
      <w:r w:rsidRPr="0063599A">
        <w:rPr>
          <w:rStyle w:val="normaltextrun"/>
          <w:rFonts w:ascii="Arial" w:hAnsi="Arial" w:cs="Arial"/>
          <w:i/>
          <w:iCs/>
        </w:rPr>
        <w:t>Daubert v. Merrell Dow Pharmaceuticals, Inc.</w:t>
      </w:r>
      <w:r w:rsidRPr="0063599A">
        <w:rPr>
          <w:rStyle w:val="normaltextrun"/>
          <w:rFonts w:ascii="Arial" w:hAnsi="Arial" w:cs="Arial"/>
        </w:rPr>
        <w:t>, 509 U.S. 579 (1993), to testify regarding transfer agent practices and their role in facilitating securities fraud, notwithstanding absence of peer-reviewed publications or formal academic credentials specific to transfer agent operations.</w:t>
      </w:r>
      <w:r w:rsidRPr="0063599A">
        <w:rPr>
          <w:rStyle w:val="eop"/>
          <w:rFonts w:ascii="Arial" w:hAnsi="Arial" w:cs="Arial"/>
        </w:rPr>
        <w:t> </w:t>
      </w:r>
    </w:p>
    <w:p w:rsidRPr="0063599A" w:rsidR="006C5070" w:rsidP="006C5070" w:rsidRDefault="006C5070" w14:paraId="0CF462F7" w14:textId="77777777">
      <w:pPr>
        <w:pStyle w:val="paragraph"/>
        <w:spacing w:before="0" w:beforeAutospacing="0" w:after="0" w:afterAutospacing="0"/>
        <w:jc w:val="both"/>
        <w:textAlignment w:val="baseline"/>
        <w:rPr>
          <w:rFonts w:ascii="Arial" w:hAnsi="Arial" w:cs="Arial"/>
        </w:rPr>
      </w:pPr>
      <w:r w:rsidRPr="0063599A">
        <w:rPr>
          <w:rStyle w:val="eop"/>
          <w:rFonts w:ascii="Arial" w:hAnsi="Arial" w:cs="Arial"/>
        </w:rPr>
        <w:t> </w:t>
      </w:r>
    </w:p>
    <w:p w:rsidRPr="0063599A" w:rsidR="006C5070" w:rsidP="006C5070" w:rsidRDefault="006C5070" w14:paraId="168556D4"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b/>
          <w:bCs/>
        </w:rPr>
        <w:t>In re Amendments to Florida Rules of Civil Procedure 1.350 and 1.370</w:t>
      </w:r>
      <w:r w:rsidRPr="0063599A">
        <w:rPr>
          <w:rStyle w:val="normaltextrun"/>
          <w:rFonts w:ascii="Arial" w:hAnsi="Arial" w:cs="Arial"/>
        </w:rPr>
        <w:t>, Case No. SC2024-0779 (Fla. 2026).</w:t>
      </w:r>
      <w:r w:rsidRPr="0063599A">
        <w:rPr>
          <w:rStyle w:val="eop"/>
          <w:rFonts w:ascii="Arial" w:hAnsi="Arial" w:cs="Arial"/>
        </w:rPr>
        <w:t> </w:t>
      </w:r>
    </w:p>
    <w:p w:rsidRPr="0063599A" w:rsidR="006C5070" w:rsidP="006C5070" w:rsidRDefault="006C5070" w14:paraId="5FA17649"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rPr>
        <w:t>Amendments to Florida Rules of Civil Procedure 1.350 and 1.370 effective April 1, 2026 require requests for production and requests for admission and responses thereto to be served on all parties in the case.</w:t>
      </w:r>
      <w:r w:rsidRPr="0063599A">
        <w:rPr>
          <w:rStyle w:val="eop"/>
          <w:rFonts w:ascii="Arial" w:hAnsi="Arial" w:cs="Arial"/>
        </w:rPr>
        <w:t> </w:t>
      </w:r>
    </w:p>
    <w:p w:rsidRPr="0063599A" w:rsidR="006C5070" w:rsidP="006C5070" w:rsidRDefault="006C5070" w14:paraId="5043B8D8" w14:textId="77777777">
      <w:pPr>
        <w:pStyle w:val="paragraph"/>
        <w:spacing w:before="0" w:beforeAutospacing="0" w:after="0" w:afterAutospacing="0"/>
        <w:jc w:val="both"/>
        <w:textAlignment w:val="baseline"/>
        <w:rPr>
          <w:rFonts w:ascii="Arial" w:hAnsi="Arial" w:cs="Arial"/>
        </w:rPr>
      </w:pPr>
      <w:r w:rsidRPr="0063599A">
        <w:rPr>
          <w:rStyle w:val="eop"/>
          <w:rFonts w:ascii="Arial" w:hAnsi="Arial" w:cs="Arial"/>
        </w:rPr>
        <w:t> </w:t>
      </w:r>
    </w:p>
    <w:p w:rsidRPr="0063599A" w:rsidR="006C5070" w:rsidP="006C5070" w:rsidRDefault="006C5070" w14:paraId="511706A4"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b/>
          <w:bCs/>
        </w:rPr>
        <w:t>In re Amendments to Florida Rules of Civil Procedure 1.070, 1.430, and Form 1.902</w:t>
      </w:r>
      <w:r w:rsidRPr="0063599A">
        <w:rPr>
          <w:rStyle w:val="normaltextrun"/>
          <w:rFonts w:ascii="Arial" w:hAnsi="Arial" w:cs="Arial"/>
        </w:rPr>
        <w:t>, Case No. SC2025-0582 (Fla. 2026).</w:t>
      </w:r>
      <w:r w:rsidRPr="0063599A">
        <w:rPr>
          <w:rStyle w:val="eop"/>
          <w:rFonts w:ascii="Arial" w:hAnsi="Arial" w:cs="Arial"/>
        </w:rPr>
        <w:t> </w:t>
      </w:r>
    </w:p>
    <w:p w:rsidRPr="0063599A" w:rsidR="006C5070" w:rsidP="006C5070" w:rsidRDefault="006C5070" w14:paraId="2C705202"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rPr>
        <w:t>Amendments to Florida Rules of Civil Procedure 1.070 and 1.430 effective April 1, 2026 expand waiver of service methods to include registered mail as defined by Florida Statutes section 1.01 and require demands for jury trial to be filed rather than merely served.</w:t>
      </w:r>
      <w:r w:rsidRPr="0063599A">
        <w:rPr>
          <w:rStyle w:val="eop"/>
          <w:rFonts w:ascii="Arial" w:hAnsi="Arial" w:cs="Arial"/>
        </w:rPr>
        <w:t> </w:t>
      </w:r>
    </w:p>
    <w:p w:rsidRPr="0063599A" w:rsidR="006C5070" w:rsidP="006C5070" w:rsidRDefault="006C5070" w14:paraId="6C06DAFC" w14:textId="77777777">
      <w:pPr>
        <w:pStyle w:val="paragraph"/>
        <w:spacing w:before="0" w:beforeAutospacing="0" w:after="0" w:afterAutospacing="0"/>
        <w:jc w:val="both"/>
        <w:textAlignment w:val="baseline"/>
        <w:rPr>
          <w:rFonts w:ascii="Arial" w:hAnsi="Arial" w:cs="Arial"/>
        </w:rPr>
      </w:pPr>
      <w:r w:rsidRPr="0063599A">
        <w:rPr>
          <w:rStyle w:val="eop"/>
          <w:rFonts w:ascii="Arial" w:hAnsi="Arial" w:cs="Arial"/>
        </w:rPr>
        <w:t> </w:t>
      </w:r>
    </w:p>
    <w:p w:rsidRPr="0063599A" w:rsidR="006C5070" w:rsidP="006C5070" w:rsidRDefault="006C5070" w14:paraId="5E0BE198" w14:textId="06A1A743">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b/>
          <w:bCs/>
        </w:rPr>
        <w:t>Dascal v. In re Dascal</w:t>
      </w:r>
      <w:r w:rsidRPr="0063599A">
        <w:rPr>
          <w:rStyle w:val="normaltextrun"/>
          <w:rFonts w:ascii="Arial" w:hAnsi="Arial" w:cs="Arial"/>
        </w:rPr>
        <w:t>, Case No. 3D24-0733  (Fla. 3d DCA 2026)</w:t>
      </w:r>
      <w:r w:rsidRPr="0063599A" w:rsidR="006456D3">
        <w:rPr>
          <w:rStyle w:val="normaltextrun"/>
          <w:rFonts w:ascii="Arial" w:hAnsi="Arial" w:cs="Arial"/>
        </w:rPr>
        <w:t xml:space="preserve">. </w:t>
      </w:r>
    </w:p>
    <w:p w:rsidRPr="0063599A" w:rsidR="006C5070" w:rsidP="006C5070" w:rsidRDefault="006C5070" w14:paraId="3BEFBBC7"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rPr>
        <w:t>Florida Statutes section 736.08135(2)(c) requires trust accountings to identify and value trust assets to the extent feasible but does not mandate valuation when not reasonably capable of valuation.</w:t>
      </w:r>
      <w:r w:rsidRPr="0063599A">
        <w:rPr>
          <w:rStyle w:val="eop"/>
          <w:rFonts w:ascii="Arial" w:hAnsi="Arial" w:cs="Arial"/>
        </w:rPr>
        <w:t> </w:t>
      </w:r>
    </w:p>
    <w:p w:rsidRPr="0063599A" w:rsidR="006C5070" w:rsidP="006C5070" w:rsidRDefault="006C5070" w14:paraId="77039596" w14:textId="77777777">
      <w:pPr>
        <w:pStyle w:val="paragraph"/>
        <w:spacing w:before="0" w:beforeAutospacing="0" w:after="0" w:afterAutospacing="0"/>
        <w:jc w:val="both"/>
        <w:textAlignment w:val="baseline"/>
        <w:rPr>
          <w:rFonts w:ascii="Arial" w:hAnsi="Arial" w:cs="Arial"/>
        </w:rPr>
      </w:pPr>
      <w:r w:rsidRPr="0063599A">
        <w:rPr>
          <w:rStyle w:val="eop"/>
          <w:rFonts w:ascii="Arial" w:hAnsi="Arial" w:cs="Arial"/>
        </w:rPr>
        <w:t> </w:t>
      </w:r>
    </w:p>
    <w:p w:rsidRPr="0063599A" w:rsidR="006C5070" w:rsidP="006C5070" w:rsidRDefault="006C5070" w14:paraId="5F8E8298" w14:textId="775AFB1D">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b/>
          <w:bCs/>
        </w:rPr>
        <w:t>Capuzzo v. Joch</w:t>
      </w:r>
      <w:r w:rsidRPr="0063599A">
        <w:rPr>
          <w:rStyle w:val="normaltextrun"/>
          <w:rFonts w:ascii="Arial" w:hAnsi="Arial" w:cs="Arial"/>
        </w:rPr>
        <w:t>, Case No. 3D25-0632 (Fla. 3d DCA 2026)</w:t>
      </w:r>
      <w:r w:rsidRPr="0063599A" w:rsidR="006456D3">
        <w:rPr>
          <w:rStyle w:val="normaltextrun"/>
          <w:rFonts w:ascii="Arial" w:hAnsi="Arial" w:cs="Arial"/>
        </w:rPr>
        <w:t xml:space="preserve">. </w:t>
      </w:r>
    </w:p>
    <w:p w:rsidRPr="0063599A" w:rsidR="006C5070" w:rsidP="006C5070" w:rsidRDefault="006C5070" w14:paraId="7B68A442" w14:textId="29920E5B">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rPr>
        <w:lastRenderedPageBreak/>
        <w:t>A residential lease exceeding one year executed in January 2020 without two subscribing witnesses violates section Florida Statutes 689.01(1) (2019) and is unenforceable</w:t>
      </w:r>
      <w:r w:rsidRPr="0063599A" w:rsidR="006456D3">
        <w:rPr>
          <w:rStyle w:val="normaltextrun"/>
          <w:rFonts w:ascii="Arial" w:hAnsi="Arial" w:cs="Arial"/>
        </w:rPr>
        <w:t xml:space="preserve">. </w:t>
      </w:r>
    </w:p>
    <w:p w:rsidRPr="0063599A" w:rsidR="006C5070" w:rsidP="006C5070" w:rsidRDefault="006C5070" w14:paraId="7872624C" w14:textId="77777777">
      <w:pPr>
        <w:pStyle w:val="paragraph"/>
        <w:spacing w:before="0" w:beforeAutospacing="0" w:after="0" w:afterAutospacing="0"/>
        <w:jc w:val="both"/>
        <w:textAlignment w:val="baseline"/>
        <w:rPr>
          <w:rFonts w:ascii="Arial" w:hAnsi="Arial" w:cs="Arial"/>
        </w:rPr>
      </w:pPr>
      <w:r w:rsidRPr="0063599A">
        <w:rPr>
          <w:rStyle w:val="eop"/>
          <w:rFonts w:ascii="Arial" w:hAnsi="Arial" w:cs="Arial"/>
        </w:rPr>
        <w:t> </w:t>
      </w:r>
    </w:p>
    <w:p w:rsidRPr="0063599A" w:rsidR="006C5070" w:rsidP="006C5070" w:rsidRDefault="006C5070" w14:paraId="3272F6DD" w14:textId="48DAFA06">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b/>
          <w:bCs/>
        </w:rPr>
        <w:t>Carmona Realty Group v. Fernandez</w:t>
      </w:r>
      <w:r w:rsidRPr="0063599A">
        <w:rPr>
          <w:rStyle w:val="normaltextrun"/>
          <w:rFonts w:ascii="Arial" w:hAnsi="Arial" w:cs="Arial"/>
        </w:rPr>
        <w:t>, Case No. 3D24-2164 (Fla. 3d DCA 2026)</w:t>
      </w:r>
      <w:r w:rsidRPr="0063599A" w:rsidR="006456D3">
        <w:rPr>
          <w:rStyle w:val="normaltextrun"/>
          <w:rFonts w:ascii="Arial" w:hAnsi="Arial" w:cs="Arial"/>
        </w:rPr>
        <w:t xml:space="preserve">. </w:t>
      </w:r>
    </w:p>
    <w:p w:rsidRPr="0063599A" w:rsidR="006C5070" w:rsidP="006C5070" w:rsidRDefault="006C5070" w14:paraId="53000099"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rPr>
        <w:t>A broker earns a commission after procuring a willing, ready, and able purchaser at the listing price and terms; unsigned "Instructions to other agents" lack of consideration and constitute neither a valid contract for nor a modification of the exclusive listing agreement absent written amendment signed by broker as required by Florida Statutes section 725.01. Moreover, the merger doctrine demands mutual reference between instruments before merger or incorporation can occur.</w:t>
      </w:r>
      <w:r w:rsidRPr="0063599A">
        <w:rPr>
          <w:rStyle w:val="eop"/>
          <w:rFonts w:ascii="Arial" w:hAnsi="Arial" w:cs="Arial"/>
        </w:rPr>
        <w:t> </w:t>
      </w:r>
    </w:p>
    <w:p w:rsidRPr="0063599A" w:rsidR="006C5070" w:rsidP="006C5070" w:rsidRDefault="006C5070" w14:paraId="4223D68F" w14:textId="77777777">
      <w:pPr>
        <w:pStyle w:val="paragraph"/>
        <w:spacing w:before="0" w:beforeAutospacing="0" w:after="0" w:afterAutospacing="0"/>
        <w:jc w:val="both"/>
        <w:textAlignment w:val="baseline"/>
        <w:rPr>
          <w:rFonts w:ascii="Arial" w:hAnsi="Arial" w:cs="Arial"/>
        </w:rPr>
      </w:pPr>
      <w:r w:rsidRPr="0063599A">
        <w:rPr>
          <w:rStyle w:val="eop"/>
          <w:rFonts w:ascii="Arial" w:hAnsi="Arial" w:cs="Arial"/>
        </w:rPr>
        <w:t> </w:t>
      </w:r>
    </w:p>
    <w:p w:rsidRPr="0063599A" w:rsidR="006C5070" w:rsidP="006C5070" w:rsidRDefault="006C5070" w14:paraId="73EAF1C8" w14:textId="77777777">
      <w:pPr>
        <w:pStyle w:val="paragraph"/>
        <w:spacing w:before="0" w:beforeAutospacing="0" w:after="0" w:afterAutospacing="0"/>
        <w:jc w:val="both"/>
        <w:textAlignment w:val="baseline"/>
        <w:rPr>
          <w:rFonts w:ascii="Arial" w:hAnsi="Arial" w:cs="Arial"/>
        </w:rPr>
      </w:pPr>
      <w:r w:rsidRPr="0063599A">
        <w:rPr>
          <w:rStyle w:val="normaltextrun"/>
          <w:rFonts w:ascii="Arial" w:hAnsi="Arial" w:cs="Arial"/>
          <w:b/>
          <w:bCs/>
        </w:rPr>
        <w:t>Beck v. North Broward Hospital District</w:t>
      </w:r>
      <w:r w:rsidRPr="0063599A">
        <w:rPr>
          <w:rStyle w:val="normaltextrun"/>
          <w:rFonts w:ascii="Arial" w:hAnsi="Arial" w:cs="Arial"/>
        </w:rPr>
        <w:t>, Case No. 4D2024-1814 (Fla. 4th DCA 2026).</w:t>
      </w:r>
      <w:r w:rsidRPr="0063599A">
        <w:rPr>
          <w:rStyle w:val="eop"/>
          <w:rFonts w:ascii="Arial" w:hAnsi="Arial" w:cs="Arial"/>
        </w:rPr>
        <w:t> </w:t>
      </w:r>
    </w:p>
    <w:p w:rsidRPr="0063599A" w:rsidR="006C5070" w:rsidP="006C5070" w:rsidRDefault="006C5070" w14:paraId="1CE7C9BF" w14:textId="089C8779">
      <w:pPr>
        <w:pStyle w:val="paragraph"/>
        <w:spacing w:before="0" w:beforeAutospacing="0" w:after="0" w:afterAutospacing="0"/>
        <w:jc w:val="both"/>
        <w:textAlignment w:val="baseline"/>
        <w:rPr>
          <w:rStyle w:val="eop"/>
          <w:rFonts w:ascii="Arial" w:hAnsi="Arial" w:cs="Arial"/>
        </w:rPr>
      </w:pPr>
      <w:r w:rsidRPr="0063599A">
        <w:rPr>
          <w:rStyle w:val="normaltextrun"/>
          <w:rFonts w:ascii="Arial" w:hAnsi="Arial" w:cs="Arial"/>
        </w:rPr>
        <w:t xml:space="preserve">Informational notices required by statute do not create express written contracts sufficient to waive sovereign immunity under </w:t>
      </w:r>
      <w:r w:rsidRPr="0063599A">
        <w:rPr>
          <w:rStyle w:val="normaltextrun"/>
          <w:rFonts w:ascii="Arial" w:hAnsi="Arial" w:cs="Arial"/>
          <w:i/>
          <w:iCs/>
        </w:rPr>
        <w:t>Pan-Am Tobacco Corp. v. Department of Corrections</w:t>
      </w:r>
      <w:r w:rsidRPr="0063599A">
        <w:rPr>
          <w:rStyle w:val="normaltextrun"/>
          <w:rFonts w:ascii="Arial" w:hAnsi="Arial" w:cs="Arial"/>
        </w:rPr>
        <w:t>, 471 So. 2d 4 (Fla. 1984), and Florida Statutes Section 768.28(1).</w:t>
      </w:r>
      <w:r w:rsidRPr="0063599A">
        <w:rPr>
          <w:rStyle w:val="eop"/>
          <w:rFonts w:ascii="Arial" w:hAnsi="Arial" w:cs="Arial"/>
        </w:rPr>
        <w:t> </w:t>
      </w:r>
    </w:p>
    <w:p w:rsidRPr="0063599A" w:rsidR="006456D3" w:rsidP="006C5070" w:rsidRDefault="006456D3" w14:paraId="5BBB7400" w14:textId="77777777">
      <w:pPr>
        <w:pStyle w:val="paragraph"/>
        <w:spacing w:before="0" w:beforeAutospacing="0" w:after="0" w:afterAutospacing="0"/>
        <w:jc w:val="both"/>
        <w:textAlignment w:val="baseline"/>
        <w:rPr>
          <w:rFonts w:ascii="Arial" w:hAnsi="Arial" w:cs="Arial"/>
        </w:rPr>
      </w:pPr>
    </w:p>
    <w:p w:rsidRPr="0063599A" w:rsidR="006C5070" w:rsidP="006C5070" w:rsidRDefault="006C5070" w14:paraId="2BDAE257" w14:textId="5F48CD43">
      <w:pPr>
        <w:pStyle w:val="NoSpacing"/>
        <w:jc w:val="both"/>
        <w:rPr>
          <w:rFonts w:cs="Arial"/>
          <w:sz w:val="24"/>
          <w:szCs w:val="24"/>
        </w:rPr>
      </w:pPr>
      <w:r w:rsidRPr="0063599A">
        <w:rPr>
          <w:rFonts w:cs="Arial"/>
          <w:b/>
          <w:bCs/>
          <w:sz w:val="24"/>
          <w:szCs w:val="24"/>
        </w:rPr>
        <w:t>Boca Aircraft Maintenance, LLC v. Fifteen Group Capital, LLC</w:t>
      </w:r>
      <w:r w:rsidRPr="0063599A">
        <w:rPr>
          <w:rFonts w:cs="Arial"/>
          <w:sz w:val="24"/>
          <w:szCs w:val="24"/>
        </w:rPr>
        <w:t>, Case No. 3D24-0670 (Fla. 3d DCA 2025)</w:t>
      </w:r>
      <w:r w:rsidRPr="0063599A" w:rsidR="006456D3">
        <w:rPr>
          <w:rFonts w:cs="Arial"/>
          <w:sz w:val="24"/>
          <w:szCs w:val="24"/>
        </w:rPr>
        <w:t xml:space="preserve">. </w:t>
      </w:r>
    </w:p>
    <w:p w:rsidRPr="0063599A" w:rsidR="006C5070" w:rsidP="006C5070" w:rsidRDefault="006C5070" w14:paraId="2EC11A76" w14:textId="77777777">
      <w:pPr>
        <w:pStyle w:val="NoSpacing"/>
        <w:jc w:val="both"/>
        <w:rPr>
          <w:rFonts w:cs="Arial"/>
          <w:sz w:val="24"/>
          <w:szCs w:val="24"/>
        </w:rPr>
      </w:pPr>
      <w:r w:rsidRPr="0063599A">
        <w:rPr>
          <w:rFonts w:cs="Arial"/>
          <w:sz w:val="24"/>
          <w:szCs w:val="24"/>
        </w:rPr>
        <w:t xml:space="preserve">Tort damages arising from alleged fraud and negligence in aircraft maintenance services are precluded under the independent tort rule where the court fails to identify tort damages distinct from breach of contract damages. </w:t>
      </w:r>
    </w:p>
    <w:p w:rsidRPr="0063599A" w:rsidR="006C5070" w:rsidP="006C5070" w:rsidRDefault="006C5070" w14:paraId="01ADA0C9" w14:textId="77777777">
      <w:pPr>
        <w:pStyle w:val="NoSpacing"/>
        <w:jc w:val="both"/>
        <w:rPr>
          <w:rFonts w:cs="Arial"/>
          <w:sz w:val="24"/>
          <w:szCs w:val="24"/>
        </w:rPr>
      </w:pPr>
    </w:p>
    <w:p w:rsidRPr="0063599A" w:rsidR="006C5070" w:rsidP="006C5070" w:rsidRDefault="006C5070" w14:paraId="7CFDE169" w14:textId="50F38F57">
      <w:pPr>
        <w:pStyle w:val="NoSpacing"/>
        <w:jc w:val="both"/>
        <w:rPr>
          <w:rFonts w:cs="Arial"/>
          <w:sz w:val="24"/>
          <w:szCs w:val="24"/>
        </w:rPr>
      </w:pPr>
      <w:r w:rsidRPr="0063599A">
        <w:rPr>
          <w:rFonts w:cs="Arial"/>
          <w:b/>
          <w:bCs/>
          <w:sz w:val="24"/>
          <w:szCs w:val="24"/>
        </w:rPr>
        <w:t>Eco Green International, LLC v. Acapital, S.R.O.,</w:t>
      </w:r>
      <w:r w:rsidRPr="0063599A">
        <w:rPr>
          <w:rFonts w:cs="Arial"/>
          <w:sz w:val="24"/>
          <w:szCs w:val="24"/>
        </w:rPr>
        <w:t xml:space="preserve"> Case No. 3D24-1761 (Fla. 3d DCA 2025)</w:t>
      </w:r>
      <w:r w:rsidRPr="0063599A" w:rsidR="006456D3">
        <w:rPr>
          <w:rFonts w:cs="Arial"/>
          <w:sz w:val="24"/>
          <w:szCs w:val="24"/>
        </w:rPr>
        <w:t xml:space="preserve">. </w:t>
      </w:r>
    </w:p>
    <w:p w:rsidRPr="0063599A" w:rsidR="006C5070" w:rsidP="006C5070" w:rsidRDefault="006C5070" w14:paraId="150FF794" w14:textId="5F36005B">
      <w:pPr>
        <w:pStyle w:val="NoSpacing"/>
        <w:jc w:val="both"/>
        <w:rPr>
          <w:rFonts w:cs="Arial"/>
          <w:sz w:val="24"/>
          <w:szCs w:val="24"/>
        </w:rPr>
      </w:pPr>
      <w:r w:rsidRPr="0063599A">
        <w:rPr>
          <w:rFonts w:cs="Arial"/>
          <w:sz w:val="24"/>
          <w:szCs w:val="24"/>
        </w:rPr>
        <w:t>An appellate court lacks jurisdiction to review a trial court's order granting a motion to dismiss certain counts “with prejudice” but does not have words of finality, i.e., is not a final order, and does have jurisdiction to review an order compelling jurisdiction on certain other counts</w:t>
      </w:r>
      <w:r w:rsidRPr="0063599A" w:rsidR="006456D3">
        <w:rPr>
          <w:rFonts w:cs="Arial"/>
          <w:sz w:val="24"/>
          <w:szCs w:val="24"/>
        </w:rPr>
        <w:t xml:space="preserve">. </w:t>
      </w:r>
    </w:p>
    <w:p w:rsidRPr="0063599A" w:rsidR="006C5070" w:rsidP="006C5070" w:rsidRDefault="006C5070" w14:paraId="2099A05D" w14:textId="77777777">
      <w:pPr>
        <w:pStyle w:val="NoSpacing"/>
        <w:jc w:val="both"/>
        <w:rPr>
          <w:rFonts w:cs="Arial"/>
          <w:sz w:val="24"/>
          <w:szCs w:val="24"/>
        </w:rPr>
      </w:pPr>
    </w:p>
    <w:p w:rsidRPr="0063599A" w:rsidR="006C5070" w:rsidP="006C5070" w:rsidRDefault="006C5070" w14:paraId="5FBCF3F6" w14:textId="045F756B">
      <w:pPr>
        <w:pStyle w:val="NoSpacing"/>
        <w:jc w:val="both"/>
        <w:rPr>
          <w:rFonts w:cs="Arial"/>
          <w:sz w:val="24"/>
          <w:szCs w:val="24"/>
        </w:rPr>
      </w:pPr>
      <w:r w:rsidRPr="0063599A">
        <w:rPr>
          <w:rFonts w:cs="Arial"/>
          <w:b/>
          <w:bCs/>
          <w:sz w:val="24"/>
          <w:szCs w:val="24"/>
        </w:rPr>
        <w:t>Pascalides v. Artico</w:t>
      </w:r>
      <w:r w:rsidRPr="0063599A">
        <w:rPr>
          <w:rFonts w:cs="Arial"/>
          <w:sz w:val="24"/>
          <w:szCs w:val="24"/>
        </w:rPr>
        <w:t>, Case No. 3D24-1052 (Fla. 3d DCA 2025)</w:t>
      </w:r>
      <w:r w:rsidRPr="0063599A" w:rsidR="006456D3">
        <w:rPr>
          <w:rFonts w:cs="Arial"/>
          <w:sz w:val="24"/>
          <w:szCs w:val="24"/>
        </w:rPr>
        <w:t xml:space="preserve">. </w:t>
      </w:r>
    </w:p>
    <w:p w:rsidRPr="0063599A" w:rsidR="006C5070" w:rsidP="006C5070" w:rsidRDefault="006C5070" w14:paraId="1B222723" w14:textId="77777777">
      <w:pPr>
        <w:pStyle w:val="NoSpacing"/>
        <w:jc w:val="both"/>
        <w:rPr>
          <w:rFonts w:cs="Arial"/>
          <w:sz w:val="24"/>
          <w:szCs w:val="24"/>
        </w:rPr>
      </w:pPr>
      <w:r w:rsidRPr="0063599A">
        <w:rPr>
          <w:rFonts w:cs="Arial"/>
          <w:sz w:val="24"/>
          <w:szCs w:val="24"/>
        </w:rPr>
        <w:t xml:space="preserve">A defendant is entitled to funds in a joint tenancy bank account designated with survivorship rights where the estate fails to establish the account was created as a convenience account under Florida Statutes section 655.80. </w:t>
      </w:r>
    </w:p>
    <w:p w:rsidRPr="0063599A" w:rsidR="006C5070" w:rsidP="006C5070" w:rsidRDefault="006C5070" w14:paraId="08442031" w14:textId="77777777">
      <w:pPr>
        <w:pStyle w:val="NoSpacing"/>
        <w:jc w:val="both"/>
        <w:rPr>
          <w:rFonts w:cs="Arial"/>
          <w:sz w:val="24"/>
          <w:szCs w:val="24"/>
        </w:rPr>
      </w:pPr>
    </w:p>
    <w:p w:rsidRPr="0063599A" w:rsidR="006C5070" w:rsidP="006C5070" w:rsidRDefault="006C5070" w14:paraId="159F9DAC" w14:textId="69426DF8">
      <w:pPr>
        <w:pStyle w:val="NoSpacing"/>
        <w:jc w:val="both"/>
        <w:rPr>
          <w:rFonts w:cs="Arial"/>
          <w:sz w:val="24"/>
          <w:szCs w:val="24"/>
        </w:rPr>
      </w:pPr>
      <w:r w:rsidRPr="0063599A">
        <w:rPr>
          <w:rFonts w:cs="Arial"/>
          <w:b/>
          <w:bCs/>
          <w:sz w:val="24"/>
          <w:szCs w:val="24"/>
        </w:rPr>
        <w:t>Monroe County v. Kearns Construction Company</w:t>
      </w:r>
      <w:r w:rsidRPr="0063599A">
        <w:rPr>
          <w:rFonts w:cs="Arial"/>
          <w:sz w:val="24"/>
          <w:szCs w:val="24"/>
        </w:rPr>
        <w:t>, Case No. 3D25-1586 (Fla. 3d DCA 2025)</w:t>
      </w:r>
      <w:r w:rsidRPr="0063599A" w:rsidR="006456D3">
        <w:rPr>
          <w:rFonts w:cs="Arial"/>
          <w:sz w:val="24"/>
          <w:szCs w:val="24"/>
        </w:rPr>
        <w:t xml:space="preserve">. </w:t>
      </w:r>
    </w:p>
    <w:p w:rsidRPr="0063599A" w:rsidR="006C5070" w:rsidP="006C5070" w:rsidRDefault="006C5070" w14:paraId="387BB65A" w14:textId="77777777">
      <w:pPr>
        <w:pStyle w:val="NoSpacing"/>
        <w:jc w:val="both"/>
        <w:rPr>
          <w:rFonts w:cs="Arial"/>
          <w:sz w:val="24"/>
          <w:szCs w:val="24"/>
        </w:rPr>
      </w:pPr>
      <w:r w:rsidRPr="0063599A">
        <w:rPr>
          <w:rFonts w:cs="Arial"/>
          <w:sz w:val="24"/>
          <w:szCs w:val="24"/>
        </w:rPr>
        <w:t xml:space="preserve">A county board's award of a competitive bid constitutes an executive function not subject to certiorari review through the circuit court appellate division absent a quasi-judicial hearing with sworn testimony and evidentiary development. </w:t>
      </w:r>
    </w:p>
    <w:p w:rsidRPr="0063599A" w:rsidR="006C5070" w:rsidP="006C5070" w:rsidRDefault="006C5070" w14:paraId="7D0F6027" w14:textId="77777777">
      <w:pPr>
        <w:pStyle w:val="NoSpacing"/>
        <w:jc w:val="both"/>
        <w:rPr>
          <w:rFonts w:cs="Arial"/>
          <w:sz w:val="24"/>
          <w:szCs w:val="24"/>
        </w:rPr>
      </w:pPr>
    </w:p>
    <w:p w:rsidRPr="0063599A" w:rsidR="006C5070" w:rsidP="006C5070" w:rsidRDefault="006C5070" w14:paraId="526112DD" w14:textId="7178C8EB">
      <w:pPr>
        <w:pStyle w:val="NoSpacing"/>
        <w:jc w:val="both"/>
        <w:rPr>
          <w:rFonts w:cs="Arial"/>
          <w:sz w:val="24"/>
          <w:szCs w:val="24"/>
        </w:rPr>
      </w:pPr>
      <w:r w:rsidRPr="0063599A">
        <w:rPr>
          <w:rFonts w:cs="Arial"/>
          <w:b/>
          <w:bCs/>
          <w:sz w:val="24"/>
          <w:szCs w:val="24"/>
        </w:rPr>
        <w:t>Ricardo v. Typtap Insurance Company</w:t>
      </w:r>
      <w:r w:rsidRPr="0063599A">
        <w:rPr>
          <w:rFonts w:cs="Arial"/>
          <w:sz w:val="24"/>
          <w:szCs w:val="24"/>
        </w:rPr>
        <w:t>, Case No. 3D24-0448 (Fla. 3d DCA 2025)</w:t>
      </w:r>
      <w:r w:rsidRPr="0063599A" w:rsidR="006456D3">
        <w:rPr>
          <w:rFonts w:cs="Arial"/>
          <w:sz w:val="24"/>
          <w:szCs w:val="24"/>
        </w:rPr>
        <w:t xml:space="preserve">. </w:t>
      </w:r>
    </w:p>
    <w:p w:rsidRPr="0063599A" w:rsidR="006C5070" w:rsidP="006C5070" w:rsidRDefault="006C5070" w14:paraId="66CFCE5F" w14:textId="77777777">
      <w:pPr>
        <w:pStyle w:val="NoSpacing"/>
        <w:jc w:val="both"/>
        <w:rPr>
          <w:rFonts w:cs="Arial"/>
          <w:sz w:val="24"/>
          <w:szCs w:val="24"/>
        </w:rPr>
      </w:pPr>
      <w:r w:rsidRPr="0063599A">
        <w:rPr>
          <w:rFonts w:cs="Arial"/>
          <w:sz w:val="24"/>
          <w:szCs w:val="24"/>
        </w:rPr>
        <w:t xml:space="preserve">Reversal and remand for an evidentiary hearing is required before the trial court may enforce a settlement agreement if the parties dispute material facts concerning mutual assent and the formation of a mediated settlement agreement,. </w:t>
      </w:r>
    </w:p>
    <w:p w:rsidRPr="0063599A" w:rsidR="006C5070" w:rsidP="006C5070" w:rsidRDefault="006C5070" w14:paraId="4D2CFE09" w14:textId="77777777">
      <w:pPr>
        <w:pStyle w:val="NoSpacing"/>
        <w:jc w:val="both"/>
        <w:rPr>
          <w:rFonts w:cs="Arial"/>
          <w:sz w:val="24"/>
          <w:szCs w:val="24"/>
        </w:rPr>
      </w:pPr>
    </w:p>
    <w:p w:rsidRPr="0063599A" w:rsidR="006C5070" w:rsidP="006C5070" w:rsidRDefault="006C5070" w14:paraId="56BD6CB9" w14:textId="1AAD916F">
      <w:pPr>
        <w:pStyle w:val="NoSpacing"/>
        <w:jc w:val="both"/>
        <w:rPr>
          <w:rFonts w:cs="Arial"/>
          <w:sz w:val="24"/>
          <w:szCs w:val="24"/>
        </w:rPr>
      </w:pPr>
      <w:r w:rsidRPr="0063599A">
        <w:rPr>
          <w:rFonts w:cs="Arial"/>
          <w:b/>
          <w:bCs/>
          <w:sz w:val="24"/>
          <w:szCs w:val="24"/>
        </w:rPr>
        <w:t>Levine v. Levai</w:t>
      </w:r>
      <w:r w:rsidRPr="0063599A">
        <w:rPr>
          <w:rFonts w:cs="Arial"/>
          <w:sz w:val="24"/>
          <w:szCs w:val="24"/>
        </w:rPr>
        <w:t>, Case Nos. 3D24-2290, 3D25-0049 (Fla. 3d DCA 2025)</w:t>
      </w:r>
      <w:r w:rsidRPr="0063599A" w:rsidR="006456D3">
        <w:rPr>
          <w:rFonts w:cs="Arial"/>
          <w:sz w:val="24"/>
          <w:szCs w:val="24"/>
        </w:rPr>
        <w:t xml:space="preserve">. </w:t>
      </w:r>
    </w:p>
    <w:p w:rsidRPr="0063599A" w:rsidR="006C5070" w:rsidP="006C5070" w:rsidRDefault="006C5070" w14:paraId="0A1840D4" w14:textId="77777777">
      <w:pPr>
        <w:pStyle w:val="NoSpacing"/>
        <w:jc w:val="both"/>
        <w:rPr>
          <w:rFonts w:cs="Arial"/>
          <w:sz w:val="24"/>
          <w:szCs w:val="24"/>
        </w:rPr>
      </w:pPr>
      <w:r w:rsidRPr="0063599A">
        <w:rPr>
          <w:rFonts w:cs="Arial"/>
          <w:sz w:val="24"/>
          <w:szCs w:val="24"/>
        </w:rPr>
        <w:lastRenderedPageBreak/>
        <w:t xml:space="preserve">A court cannot grant a motion to amend pleadings to add punitive damages claims where the motion fails to comply with Florida Rule of Civil Procedure 1.190(a) by attaching the proposed amended complaint at least twenty days before the hearing. </w:t>
      </w:r>
    </w:p>
    <w:p w:rsidRPr="0063599A" w:rsidR="006C5070" w:rsidP="006C5070" w:rsidRDefault="006C5070" w14:paraId="364C120F" w14:textId="77777777">
      <w:pPr>
        <w:pStyle w:val="NoSpacing"/>
        <w:jc w:val="both"/>
        <w:rPr>
          <w:rFonts w:cs="Arial"/>
          <w:sz w:val="24"/>
          <w:szCs w:val="24"/>
        </w:rPr>
      </w:pPr>
    </w:p>
    <w:p w:rsidRPr="0063599A" w:rsidR="006C5070" w:rsidP="006C5070" w:rsidRDefault="006C5070" w14:paraId="0242D35A" w14:textId="77777777">
      <w:pPr>
        <w:pStyle w:val="NoSpacing"/>
        <w:jc w:val="both"/>
        <w:rPr>
          <w:rFonts w:cs="Arial"/>
          <w:sz w:val="24"/>
          <w:szCs w:val="24"/>
        </w:rPr>
      </w:pPr>
      <w:r w:rsidRPr="0063599A">
        <w:rPr>
          <w:rFonts w:cs="Arial"/>
          <w:b/>
          <w:bCs/>
          <w:sz w:val="24"/>
          <w:szCs w:val="24"/>
        </w:rPr>
        <w:t>Athos Overseas Limited Corp. v. YouTube, Inc.</w:t>
      </w:r>
      <w:r w:rsidRPr="0063599A">
        <w:rPr>
          <w:rFonts w:cs="Arial"/>
          <w:sz w:val="24"/>
          <w:szCs w:val="24"/>
        </w:rPr>
        <w:t xml:space="preserve">, Case No. 23-13156 (11th Cir. 2026). </w:t>
      </w:r>
    </w:p>
    <w:p w:rsidRPr="0063599A" w:rsidR="006C5070" w:rsidP="006C5070" w:rsidRDefault="006C5070" w14:paraId="10C92D0D" w14:textId="77777777">
      <w:pPr>
        <w:pStyle w:val="NoSpacing"/>
        <w:jc w:val="both"/>
        <w:rPr>
          <w:rFonts w:cs="Arial"/>
          <w:sz w:val="24"/>
          <w:szCs w:val="24"/>
        </w:rPr>
      </w:pPr>
      <w:r w:rsidRPr="0063599A">
        <w:rPr>
          <w:rFonts w:cs="Arial"/>
          <w:sz w:val="24"/>
          <w:szCs w:val="24"/>
        </w:rPr>
        <w:t xml:space="preserve">YouTube qualifies for safe harbor protection under Section 512(c) of the Digital Millennium Copyright Act against copyright infringement claims arising from user-uploaded content. </w:t>
      </w:r>
    </w:p>
    <w:p w:rsidRPr="0063599A" w:rsidR="006C5070" w:rsidP="006C5070" w:rsidRDefault="006C5070" w14:paraId="10D1FFCD" w14:textId="77777777">
      <w:pPr>
        <w:pStyle w:val="NoSpacing"/>
        <w:jc w:val="both"/>
        <w:rPr>
          <w:rFonts w:cs="Arial"/>
          <w:sz w:val="24"/>
          <w:szCs w:val="24"/>
        </w:rPr>
      </w:pPr>
    </w:p>
    <w:p w:rsidRPr="0063599A" w:rsidR="006C5070" w:rsidP="006C5070" w:rsidRDefault="006C5070" w14:paraId="0F129139" w14:textId="77777777">
      <w:pPr>
        <w:pStyle w:val="NoSpacing"/>
        <w:jc w:val="both"/>
        <w:rPr>
          <w:rFonts w:cs="Arial"/>
          <w:sz w:val="24"/>
          <w:szCs w:val="24"/>
        </w:rPr>
      </w:pPr>
      <w:r w:rsidRPr="0063599A">
        <w:rPr>
          <w:rFonts w:cs="Arial"/>
          <w:b/>
          <w:bCs/>
          <w:sz w:val="24"/>
          <w:szCs w:val="24"/>
        </w:rPr>
        <w:t>Hill-Becton v. MIA Aesthetics Clinic, LLC</w:t>
      </w:r>
      <w:r w:rsidRPr="0063599A">
        <w:rPr>
          <w:rFonts w:cs="Arial"/>
          <w:sz w:val="24"/>
          <w:szCs w:val="24"/>
        </w:rPr>
        <w:t xml:space="preserve">, Case No. 3D25-0072 (Fla. 3d DCA 2026). </w:t>
      </w:r>
    </w:p>
    <w:p w:rsidRPr="0063599A" w:rsidR="006C5070" w:rsidP="006C5070" w:rsidRDefault="006C5070" w14:paraId="25E840FA" w14:textId="77777777">
      <w:pPr>
        <w:pStyle w:val="NoSpacing"/>
        <w:jc w:val="both"/>
        <w:rPr>
          <w:rFonts w:cs="Arial"/>
          <w:sz w:val="24"/>
          <w:szCs w:val="24"/>
        </w:rPr>
      </w:pPr>
      <w:r w:rsidRPr="0063599A">
        <w:rPr>
          <w:rFonts w:cs="Arial"/>
          <w:sz w:val="24"/>
          <w:szCs w:val="24"/>
        </w:rPr>
        <w:t xml:space="preserve">A party challenging arbitration provisions as being unconscionable must establish both procedural and substantive unconscionability to avoid enforcement of a valid written arbitration agreement. </w:t>
      </w:r>
    </w:p>
    <w:p w:rsidRPr="0063599A" w:rsidR="006C5070" w:rsidP="006C5070" w:rsidRDefault="006C5070" w14:paraId="25C82742" w14:textId="77777777">
      <w:pPr>
        <w:pStyle w:val="NoSpacing"/>
        <w:jc w:val="both"/>
        <w:rPr>
          <w:rFonts w:cs="Arial"/>
          <w:sz w:val="24"/>
          <w:szCs w:val="24"/>
        </w:rPr>
      </w:pPr>
    </w:p>
    <w:p w:rsidRPr="0063599A" w:rsidR="006C5070" w:rsidP="006C5070" w:rsidRDefault="006C5070" w14:paraId="4CA5D5B1" w14:textId="77777777">
      <w:pPr>
        <w:pStyle w:val="NoSpacing"/>
        <w:jc w:val="both"/>
        <w:rPr>
          <w:rFonts w:cs="Arial"/>
          <w:sz w:val="24"/>
          <w:szCs w:val="24"/>
        </w:rPr>
      </w:pPr>
      <w:r w:rsidRPr="0063599A">
        <w:rPr>
          <w:rFonts w:cs="Arial"/>
          <w:b/>
          <w:bCs/>
          <w:sz w:val="24"/>
          <w:szCs w:val="24"/>
        </w:rPr>
        <w:t>Breedlove v. Gersten</w:t>
      </w:r>
      <w:r w:rsidRPr="0063599A">
        <w:rPr>
          <w:rFonts w:cs="Arial"/>
          <w:sz w:val="24"/>
          <w:szCs w:val="24"/>
        </w:rPr>
        <w:t xml:space="preserve">, Case No. 3D25-0543 (Fla. 3d DCA 2026). </w:t>
      </w:r>
    </w:p>
    <w:p w:rsidRPr="0063599A" w:rsidR="006C5070" w:rsidP="006C5070" w:rsidRDefault="006C5070" w14:paraId="05CA4911" w14:textId="10D1DDE7">
      <w:pPr>
        <w:pStyle w:val="NoSpacing"/>
        <w:jc w:val="both"/>
        <w:rPr>
          <w:rFonts w:cs="Arial"/>
          <w:sz w:val="24"/>
          <w:szCs w:val="24"/>
        </w:rPr>
      </w:pPr>
      <w:r w:rsidRPr="0063599A">
        <w:rPr>
          <w:rFonts w:cs="Arial"/>
          <w:sz w:val="24"/>
          <w:szCs w:val="24"/>
        </w:rPr>
        <w:t xml:space="preserve">Rental tenants are not entitled to intervene in a partition action because they possess no direct and immediate interest in a receiver's partition action as their claims were contingent upon obtaining a future judgment and did not constitute a claim to or lien upon the property itself. </w:t>
      </w:r>
    </w:p>
    <w:p w:rsidRPr="0063599A" w:rsidR="006C5070" w:rsidP="006C5070" w:rsidRDefault="006C5070" w14:paraId="3C61D390" w14:textId="77777777">
      <w:pPr>
        <w:pStyle w:val="NoSpacing"/>
        <w:jc w:val="both"/>
        <w:rPr>
          <w:rFonts w:cs="Arial"/>
          <w:sz w:val="24"/>
          <w:szCs w:val="24"/>
        </w:rPr>
      </w:pPr>
    </w:p>
    <w:p w:rsidRPr="0063599A" w:rsidR="006C5070" w:rsidP="006C5070" w:rsidRDefault="006C5070" w14:paraId="5FAFE336" w14:textId="173AC7D3">
      <w:pPr>
        <w:pStyle w:val="NoSpacing"/>
        <w:jc w:val="both"/>
        <w:rPr>
          <w:rFonts w:cs="Arial"/>
          <w:sz w:val="24"/>
          <w:szCs w:val="24"/>
        </w:rPr>
      </w:pPr>
      <w:r w:rsidRPr="0063599A">
        <w:rPr>
          <w:rFonts w:cs="Arial"/>
          <w:b/>
          <w:bCs/>
          <w:sz w:val="24"/>
          <w:szCs w:val="24"/>
        </w:rPr>
        <w:t>Dean v. 1180 Bimini, LLC</w:t>
      </w:r>
      <w:r w:rsidRPr="0063599A">
        <w:rPr>
          <w:rFonts w:cs="Arial"/>
          <w:sz w:val="24"/>
          <w:szCs w:val="24"/>
        </w:rPr>
        <w:t>, Case No. 4D2024-2963 (Fla. 4th DCA 2026)</w:t>
      </w:r>
      <w:r w:rsidRPr="0063599A" w:rsidR="006456D3">
        <w:rPr>
          <w:rFonts w:cs="Arial"/>
          <w:sz w:val="24"/>
          <w:szCs w:val="24"/>
        </w:rPr>
        <w:t xml:space="preserve">. </w:t>
      </w:r>
    </w:p>
    <w:p w:rsidRPr="0063599A" w:rsidR="006C5070" w:rsidP="006C5070" w:rsidRDefault="006C5070" w14:paraId="655723AC" w14:textId="77777777">
      <w:pPr>
        <w:pStyle w:val="NoSpacing"/>
        <w:jc w:val="both"/>
        <w:rPr>
          <w:rFonts w:cs="Arial"/>
          <w:sz w:val="24"/>
          <w:szCs w:val="24"/>
        </w:rPr>
      </w:pPr>
      <w:r w:rsidRPr="0063599A">
        <w:rPr>
          <w:rFonts w:cs="Arial"/>
          <w:sz w:val="24"/>
          <w:szCs w:val="24"/>
        </w:rPr>
        <w:t xml:space="preserve">An injunction in a boundary dispute fails to comply with Florida Rule of Civil Procedure 1.610(c) if it lacks the requisite specificity regarding the reasons for entry and the acts restrained. </w:t>
      </w:r>
    </w:p>
    <w:p w:rsidRPr="0063599A" w:rsidR="006C5070" w:rsidP="006C5070" w:rsidRDefault="006C5070" w14:paraId="5B00651C" w14:textId="77777777">
      <w:pPr>
        <w:pStyle w:val="NoSpacing"/>
        <w:jc w:val="both"/>
        <w:rPr>
          <w:rFonts w:cs="Arial"/>
          <w:sz w:val="24"/>
          <w:szCs w:val="24"/>
        </w:rPr>
      </w:pPr>
    </w:p>
    <w:p w:rsidRPr="0063599A" w:rsidR="006C5070" w:rsidP="006C5070" w:rsidRDefault="006C5070" w14:paraId="1DAA6D88" w14:textId="2C120E03">
      <w:pPr>
        <w:pStyle w:val="NoSpacing"/>
        <w:jc w:val="both"/>
        <w:rPr>
          <w:rFonts w:cs="Arial"/>
          <w:sz w:val="24"/>
          <w:szCs w:val="24"/>
        </w:rPr>
      </w:pPr>
      <w:r w:rsidRPr="0063599A">
        <w:rPr>
          <w:rFonts w:cs="Arial"/>
          <w:b/>
          <w:bCs/>
          <w:sz w:val="24"/>
          <w:szCs w:val="24"/>
        </w:rPr>
        <w:t>NE 32nd Street, LLC v. State of Florida Board of Trustees of the Internal Improvement Trust Fund</w:t>
      </w:r>
      <w:r w:rsidRPr="0063599A">
        <w:rPr>
          <w:rFonts w:cs="Arial"/>
          <w:sz w:val="24"/>
          <w:szCs w:val="24"/>
        </w:rPr>
        <w:t>, Case No. 4D2024-1298 (Fla. 4th DCA 2026)</w:t>
      </w:r>
      <w:r w:rsidRPr="0063599A" w:rsidR="006456D3">
        <w:rPr>
          <w:rFonts w:cs="Arial"/>
          <w:sz w:val="24"/>
          <w:szCs w:val="24"/>
        </w:rPr>
        <w:t xml:space="preserve">. </w:t>
      </w:r>
    </w:p>
    <w:p w:rsidRPr="0063599A" w:rsidR="006C5070" w:rsidP="006C5070" w:rsidRDefault="006C5070" w14:paraId="53AE3E11" w14:textId="77777777">
      <w:pPr>
        <w:pStyle w:val="NoSpacing"/>
        <w:jc w:val="both"/>
        <w:rPr>
          <w:rFonts w:cs="Arial"/>
          <w:sz w:val="24"/>
          <w:szCs w:val="24"/>
        </w:rPr>
      </w:pPr>
      <w:r w:rsidRPr="0063599A">
        <w:rPr>
          <w:rFonts w:cs="Arial"/>
          <w:sz w:val="24"/>
          <w:szCs w:val="24"/>
        </w:rPr>
        <w:t xml:space="preserve">Florida Statutes section 57.041 mandates an award of costs to the prevailing  party who obtains a judgment quieting title </w:t>
      </w:r>
    </w:p>
    <w:p w:rsidRPr="0063599A" w:rsidR="006C5070" w:rsidP="006C5070" w:rsidRDefault="006C5070" w14:paraId="5E8FE26C" w14:textId="77777777">
      <w:pPr>
        <w:pStyle w:val="NoSpacing"/>
        <w:jc w:val="both"/>
        <w:rPr>
          <w:rFonts w:cs="Arial"/>
          <w:sz w:val="24"/>
          <w:szCs w:val="24"/>
        </w:rPr>
      </w:pPr>
    </w:p>
    <w:p w:rsidRPr="0063599A" w:rsidR="006C5070" w:rsidP="006C5070" w:rsidRDefault="006C5070" w14:paraId="3083DDBA" w14:textId="77777777">
      <w:pPr>
        <w:pStyle w:val="NoSpacing"/>
        <w:jc w:val="both"/>
        <w:rPr>
          <w:rFonts w:cs="Arial"/>
          <w:sz w:val="24"/>
          <w:szCs w:val="24"/>
        </w:rPr>
      </w:pPr>
      <w:r w:rsidRPr="0063599A">
        <w:rPr>
          <w:rFonts w:cs="Arial"/>
          <w:b/>
          <w:bCs/>
          <w:sz w:val="24"/>
          <w:szCs w:val="24"/>
        </w:rPr>
        <w:t>Shriberg v. Florida Flooring, Inc.</w:t>
      </w:r>
      <w:r w:rsidRPr="0063599A">
        <w:rPr>
          <w:rFonts w:cs="Arial"/>
          <w:sz w:val="24"/>
          <w:szCs w:val="24"/>
        </w:rPr>
        <w:t xml:space="preserve">, Case No. 4D2025-0162 (Fla. 4th DCA 2026). </w:t>
      </w:r>
    </w:p>
    <w:p w:rsidRPr="0063599A" w:rsidR="006C5070" w:rsidP="006C5070" w:rsidRDefault="006C5070" w14:paraId="23BD4F94" w14:textId="77777777">
      <w:pPr>
        <w:pStyle w:val="NoSpacing"/>
        <w:jc w:val="both"/>
        <w:rPr>
          <w:rFonts w:cs="Arial"/>
          <w:sz w:val="24"/>
          <w:szCs w:val="24"/>
        </w:rPr>
      </w:pPr>
      <w:r w:rsidRPr="0063599A">
        <w:rPr>
          <w:rFonts w:cs="Arial"/>
          <w:sz w:val="24"/>
          <w:szCs w:val="24"/>
        </w:rPr>
        <w:t xml:space="preserve">Trustees of a revocable trust possess standing to sue as real parties in interest as Florida Rule of Civil Procedure 1.210(a) permits trustees to sue in their own names without joining the trust as a party. </w:t>
      </w:r>
    </w:p>
    <w:p w:rsidRPr="0063599A" w:rsidR="006C5070" w:rsidP="006C5070" w:rsidRDefault="006C5070" w14:paraId="30A2ACD2" w14:textId="77777777">
      <w:pPr>
        <w:pStyle w:val="NoSpacing"/>
        <w:jc w:val="both"/>
        <w:rPr>
          <w:rFonts w:cs="Arial"/>
          <w:sz w:val="24"/>
          <w:szCs w:val="24"/>
        </w:rPr>
      </w:pPr>
    </w:p>
    <w:p w:rsidRPr="0063599A" w:rsidR="006C5070" w:rsidP="006C5070" w:rsidRDefault="006C5070" w14:paraId="6BCCB5C6" w14:textId="77777777">
      <w:pPr>
        <w:pStyle w:val="NoSpacing"/>
        <w:jc w:val="both"/>
        <w:rPr>
          <w:rFonts w:cs="Arial"/>
          <w:sz w:val="24"/>
          <w:szCs w:val="24"/>
        </w:rPr>
      </w:pPr>
      <w:r w:rsidRPr="0063599A">
        <w:rPr>
          <w:rFonts w:cs="Arial"/>
          <w:b/>
          <w:bCs/>
          <w:sz w:val="24"/>
          <w:szCs w:val="24"/>
        </w:rPr>
        <w:t>Raj v. Sutherlin</w:t>
      </w:r>
      <w:r w:rsidRPr="0063599A">
        <w:rPr>
          <w:rFonts w:cs="Arial"/>
          <w:sz w:val="24"/>
          <w:szCs w:val="24"/>
        </w:rPr>
        <w:t xml:space="preserve">, Case No. 4D2024-3333 (Fla. 4th DCA 2026). </w:t>
      </w:r>
    </w:p>
    <w:p w:rsidRPr="0063599A" w:rsidR="006C5070" w:rsidP="006C5070" w:rsidRDefault="006C5070" w14:paraId="7A2CDD9A" w14:textId="77777777">
      <w:pPr>
        <w:pStyle w:val="NoSpacing"/>
        <w:jc w:val="both"/>
        <w:rPr>
          <w:rFonts w:cs="Arial"/>
          <w:sz w:val="24"/>
          <w:szCs w:val="24"/>
        </w:rPr>
      </w:pPr>
      <w:r w:rsidRPr="0063599A">
        <w:rPr>
          <w:rFonts w:cs="Arial"/>
          <w:sz w:val="24"/>
          <w:szCs w:val="24"/>
        </w:rPr>
        <w:t xml:space="preserve">The consideration supporting a right of first refusal need not be separately allocated from the underlying contract's purchase price when the addendum granting the right expressly incorporates the purchase agreement. </w:t>
      </w:r>
    </w:p>
    <w:p w:rsidRPr="0063599A" w:rsidR="006C5070" w:rsidP="006C5070" w:rsidRDefault="006C5070" w14:paraId="263E652B" w14:textId="77777777">
      <w:pPr>
        <w:pStyle w:val="NoSpacing"/>
        <w:jc w:val="both"/>
        <w:rPr>
          <w:rFonts w:cs="Arial"/>
          <w:sz w:val="24"/>
          <w:szCs w:val="24"/>
        </w:rPr>
      </w:pPr>
    </w:p>
    <w:p w:rsidRPr="0063599A" w:rsidR="006C5070" w:rsidP="006C5070" w:rsidRDefault="006C5070" w14:paraId="19EF16D3" w14:textId="77777777">
      <w:pPr>
        <w:pStyle w:val="NoSpacing"/>
        <w:jc w:val="both"/>
        <w:rPr>
          <w:rFonts w:cs="Arial"/>
          <w:sz w:val="24"/>
          <w:szCs w:val="24"/>
        </w:rPr>
      </w:pPr>
      <w:r w:rsidRPr="0063599A">
        <w:rPr>
          <w:rFonts w:cs="Arial"/>
          <w:b/>
          <w:bCs/>
          <w:sz w:val="24"/>
          <w:szCs w:val="24"/>
        </w:rPr>
        <w:t>Andersen Service Corporation v. Old Republic Surety Company</w:t>
      </w:r>
      <w:r w:rsidRPr="0063599A">
        <w:rPr>
          <w:rFonts w:cs="Arial"/>
          <w:sz w:val="24"/>
          <w:szCs w:val="24"/>
        </w:rPr>
        <w:t xml:space="preserve">, Case No. 4D2025-2411, (Fla. 4th DCA 2026). </w:t>
      </w:r>
    </w:p>
    <w:p w:rsidRPr="0063599A" w:rsidR="00F90EFC" w:rsidP="006C5070" w:rsidRDefault="006C5070" w14:paraId="7977633A" w14:textId="12C00E96">
      <w:pPr>
        <w:pStyle w:val="NoSpacing"/>
        <w:jc w:val="both"/>
        <w:rPr>
          <w:rFonts w:cs="Arial"/>
          <w:sz w:val="24"/>
          <w:szCs w:val="24"/>
        </w:rPr>
      </w:pPr>
      <w:r w:rsidRPr="0063599A">
        <w:rPr>
          <w:rFonts w:cs="Arial"/>
          <w:sz w:val="24"/>
          <w:szCs w:val="24"/>
        </w:rPr>
        <w:t>No valid arbitration agreement exists between a subcontractor and a surety where the lien transfer bond neither contained arbitration language nor incorporated the subcontract's arbitration provision.</w:t>
      </w:r>
    </w:p>
    <w:p w:rsidRPr="0063599A" w:rsidR="00223533" w:rsidP="006C5070" w:rsidRDefault="00223533" w14:paraId="6D27BF4D" w14:textId="77777777">
      <w:pPr>
        <w:pStyle w:val="NoSpacing"/>
        <w:jc w:val="both"/>
        <w:rPr>
          <w:rFonts w:cs="Arial"/>
          <w:sz w:val="24"/>
          <w:szCs w:val="24"/>
        </w:rPr>
      </w:pPr>
    </w:p>
    <w:p w:rsidRPr="0063599A" w:rsidR="00223533" w:rsidP="00223533" w:rsidRDefault="00223533" w14:paraId="22D49714" w14:textId="77777777">
      <w:pPr>
        <w:pStyle w:val="NoSpacing"/>
        <w:rPr>
          <w:rFonts w:cs="Arial"/>
          <w:sz w:val="24"/>
          <w:szCs w:val="24"/>
        </w:rPr>
      </w:pPr>
      <w:r w:rsidRPr="0063599A">
        <w:rPr>
          <w:rFonts w:cs="Arial"/>
          <w:b/>
          <w:bCs/>
          <w:sz w:val="24"/>
          <w:szCs w:val="24"/>
        </w:rPr>
        <w:lastRenderedPageBreak/>
        <w:t>Roque v. Swezy</w:t>
      </w:r>
      <w:r w:rsidRPr="0063599A">
        <w:rPr>
          <w:rFonts w:cs="Arial"/>
          <w:sz w:val="24"/>
          <w:szCs w:val="24"/>
        </w:rPr>
        <w:t>, Case No. 3D25-0235 (Fla. 3d DCA 2026).</w:t>
      </w:r>
    </w:p>
    <w:p w:rsidRPr="0063599A" w:rsidR="00223533" w:rsidP="00223533" w:rsidRDefault="00223533" w14:paraId="3A695B4A" w14:textId="77777777">
      <w:pPr>
        <w:pStyle w:val="NoSpacing"/>
        <w:rPr>
          <w:rFonts w:cs="Arial"/>
          <w:sz w:val="24"/>
          <w:szCs w:val="24"/>
        </w:rPr>
      </w:pPr>
      <w:r w:rsidRPr="0063599A">
        <w:rPr>
          <w:rFonts w:cs="Arial"/>
          <w:sz w:val="24"/>
          <w:szCs w:val="24"/>
        </w:rPr>
        <w:t>Florida Statutes section 768.72 permits punitive-damages claims by opposing parties when each side’s proffer of defamatory accusations falsely portraying criminal, alcoholic, or drug addiction provide a reasonable evidentiary basis without weighing credibility and constitutes defamation per se that can support punitive damages without proof of actual damages.</w:t>
      </w:r>
    </w:p>
    <w:p w:rsidRPr="0063599A" w:rsidR="00223533" w:rsidP="00223533" w:rsidRDefault="00223533" w14:paraId="76DFFFF2" w14:textId="77777777">
      <w:pPr>
        <w:pStyle w:val="NoSpacing"/>
        <w:rPr>
          <w:rFonts w:cs="Arial"/>
          <w:sz w:val="24"/>
          <w:szCs w:val="24"/>
        </w:rPr>
      </w:pPr>
    </w:p>
    <w:p w:rsidRPr="0063599A" w:rsidR="00223533" w:rsidP="00223533" w:rsidRDefault="00223533" w14:paraId="0A6ACD7F" w14:textId="77777777">
      <w:pPr>
        <w:pStyle w:val="NoSpacing"/>
        <w:rPr>
          <w:rFonts w:cs="Arial"/>
          <w:sz w:val="24"/>
          <w:szCs w:val="24"/>
        </w:rPr>
      </w:pPr>
      <w:r w:rsidRPr="0063599A">
        <w:rPr>
          <w:rFonts w:cs="Arial"/>
          <w:b/>
          <w:bCs/>
          <w:sz w:val="24"/>
          <w:szCs w:val="24"/>
        </w:rPr>
        <w:t>Whitehall at Bal Harbour Condominium Ass’n, Inc. v. Raviv</w:t>
      </w:r>
      <w:r w:rsidRPr="0063599A">
        <w:rPr>
          <w:rFonts w:cs="Arial"/>
          <w:sz w:val="24"/>
          <w:szCs w:val="24"/>
        </w:rPr>
        <w:t>, Case No. 3D24-2031 (Fla. 3d DCA 2026).</w:t>
      </w:r>
    </w:p>
    <w:p w:rsidRPr="0063599A" w:rsidR="00223533" w:rsidP="00223533" w:rsidRDefault="00223533" w14:paraId="23B892B2" w14:textId="77777777">
      <w:pPr>
        <w:pStyle w:val="NoSpacing"/>
        <w:rPr>
          <w:rFonts w:cs="Arial"/>
          <w:sz w:val="24"/>
          <w:szCs w:val="24"/>
        </w:rPr>
      </w:pPr>
      <w:r w:rsidRPr="0063599A">
        <w:rPr>
          <w:rFonts w:cs="Arial"/>
          <w:sz w:val="24"/>
          <w:szCs w:val="24"/>
        </w:rPr>
        <w:t>A party that fully participates without timely objection in an evidentiary hearing and stipulates to costs waives any challenge to the entry of a final attorney-fee judgment before disposition of all claims, and such a judgment is merely voidable—not void—in the absence of defects in jurisdiction or due process.</w:t>
      </w:r>
    </w:p>
    <w:p w:rsidRPr="0063599A" w:rsidR="00223533" w:rsidP="00223533" w:rsidRDefault="00223533" w14:paraId="7AE073BA" w14:textId="77777777">
      <w:pPr>
        <w:pStyle w:val="NoSpacing"/>
        <w:rPr>
          <w:rFonts w:cs="Arial"/>
          <w:sz w:val="24"/>
          <w:szCs w:val="24"/>
        </w:rPr>
      </w:pPr>
    </w:p>
    <w:p w:rsidRPr="0063599A" w:rsidR="00223533" w:rsidP="00223533" w:rsidRDefault="00223533" w14:paraId="1DBCFA68" w14:textId="77777777">
      <w:pPr>
        <w:pStyle w:val="NoSpacing"/>
        <w:rPr>
          <w:rFonts w:cs="Arial"/>
          <w:sz w:val="24"/>
          <w:szCs w:val="24"/>
        </w:rPr>
      </w:pPr>
      <w:r w:rsidRPr="0063599A">
        <w:rPr>
          <w:rFonts w:cs="Arial"/>
          <w:b/>
          <w:bCs/>
          <w:sz w:val="24"/>
          <w:szCs w:val="24"/>
        </w:rPr>
        <w:t>DG Auto Group Export, Inc. v. Mendez</w:t>
      </w:r>
      <w:r w:rsidRPr="0063599A">
        <w:rPr>
          <w:rFonts w:cs="Arial"/>
          <w:sz w:val="24"/>
          <w:szCs w:val="24"/>
        </w:rPr>
        <w:t>, Case No. 3D24-2060 (Fla. 3d DCA 2026).</w:t>
      </w:r>
    </w:p>
    <w:p w:rsidRPr="0063599A" w:rsidR="00223533" w:rsidP="00223533" w:rsidRDefault="00223533" w14:paraId="0D9268B8" w14:textId="77777777">
      <w:pPr>
        <w:pStyle w:val="NoSpacing"/>
        <w:rPr>
          <w:rFonts w:cs="Arial"/>
          <w:sz w:val="24"/>
          <w:szCs w:val="24"/>
        </w:rPr>
      </w:pPr>
      <w:r w:rsidRPr="0063599A">
        <w:rPr>
          <w:rFonts w:cs="Arial"/>
          <w:sz w:val="24"/>
          <w:szCs w:val="24"/>
        </w:rPr>
        <w:t>Federal law governs the determination of reasonable attorney’s fees in Fair Labor Standards Act actions litigated in Florida state courts and allows a Perdue-type enhancement of the lodestar in the rare circumstances where defense misconduct causes exceptional delay in fee recovery.</w:t>
      </w:r>
    </w:p>
    <w:p w:rsidRPr="0063599A" w:rsidR="00223533" w:rsidP="00223533" w:rsidRDefault="00223533" w14:paraId="44C8063A" w14:textId="77777777">
      <w:pPr>
        <w:pStyle w:val="NoSpacing"/>
        <w:rPr>
          <w:rFonts w:cs="Arial"/>
          <w:sz w:val="24"/>
          <w:szCs w:val="24"/>
        </w:rPr>
      </w:pPr>
    </w:p>
    <w:p w:rsidRPr="0063599A" w:rsidR="00223533" w:rsidP="00223533" w:rsidRDefault="00223533" w14:paraId="48A3BF6E" w14:textId="77777777">
      <w:pPr>
        <w:pStyle w:val="NoSpacing"/>
        <w:rPr>
          <w:rFonts w:cs="Arial"/>
          <w:sz w:val="24"/>
          <w:szCs w:val="24"/>
        </w:rPr>
      </w:pPr>
      <w:r w:rsidRPr="0063599A">
        <w:rPr>
          <w:rFonts w:cs="Arial"/>
          <w:b/>
          <w:bCs/>
          <w:sz w:val="24"/>
          <w:szCs w:val="24"/>
        </w:rPr>
        <w:t>Wepard Corp., Ltd. v. Diaz, Reus &amp; Targ, LLP</w:t>
      </w:r>
      <w:r w:rsidRPr="0063599A">
        <w:rPr>
          <w:rFonts w:cs="Arial"/>
          <w:sz w:val="24"/>
          <w:szCs w:val="24"/>
        </w:rPr>
        <w:t>, Case No. 3D25-0252 (Fla. 3d DCA 2026).</w:t>
      </w:r>
    </w:p>
    <w:p w:rsidRPr="0063599A" w:rsidR="00223533" w:rsidP="00223533" w:rsidRDefault="00223533" w14:paraId="3AA9BD4E" w14:textId="77777777">
      <w:pPr>
        <w:pStyle w:val="NoSpacing"/>
        <w:rPr>
          <w:rFonts w:cs="Arial"/>
          <w:sz w:val="24"/>
          <w:szCs w:val="24"/>
        </w:rPr>
      </w:pPr>
      <w:r w:rsidRPr="0063599A">
        <w:rPr>
          <w:rFonts w:cs="Arial"/>
          <w:sz w:val="24"/>
          <w:szCs w:val="24"/>
        </w:rPr>
        <w:t>Florida Statutes section 48.197(1)(c) authorizes court-ordered email service on foreign defendants without any statutory due-diligence prerequisite so long as the method is reasonably calculated to provide actual notice and is not prohibited by international agreement, and defendants who seek affirmative relief such as sanctions and attorney’s fees thereby waive objections to personal jurisdiction and service.’</w:t>
      </w:r>
    </w:p>
    <w:p w:rsidRPr="0063599A" w:rsidR="00223533" w:rsidP="00223533" w:rsidRDefault="00223533" w14:paraId="1CD021CB" w14:textId="77777777">
      <w:pPr>
        <w:pStyle w:val="NoSpacing"/>
        <w:rPr>
          <w:rFonts w:cs="Arial"/>
          <w:sz w:val="24"/>
          <w:szCs w:val="24"/>
        </w:rPr>
      </w:pPr>
    </w:p>
    <w:p w:rsidRPr="0063599A" w:rsidR="00223533" w:rsidP="00223533" w:rsidRDefault="00223533" w14:paraId="77AD3505" w14:textId="77777777">
      <w:pPr>
        <w:pStyle w:val="NoSpacing"/>
        <w:rPr>
          <w:rFonts w:cs="Arial"/>
          <w:sz w:val="24"/>
          <w:szCs w:val="24"/>
        </w:rPr>
      </w:pPr>
      <w:r w:rsidRPr="0063599A">
        <w:rPr>
          <w:rFonts w:cs="Arial"/>
          <w:b/>
          <w:bCs/>
          <w:sz w:val="24"/>
          <w:szCs w:val="24"/>
        </w:rPr>
        <w:t>The Firm Law Group, Inc. v. Cordero</w:t>
      </w:r>
      <w:r w:rsidRPr="0063599A">
        <w:rPr>
          <w:rFonts w:cs="Arial"/>
          <w:sz w:val="24"/>
          <w:szCs w:val="24"/>
        </w:rPr>
        <w:t>, Case No. 3D25-0292 (Fla. 3d DCA 2026).</w:t>
      </w:r>
    </w:p>
    <w:p w:rsidRPr="0063599A" w:rsidR="00223533" w:rsidP="00223533" w:rsidRDefault="00223533" w14:paraId="5B27B483" w14:textId="77777777">
      <w:pPr>
        <w:pStyle w:val="NoSpacing"/>
        <w:rPr>
          <w:rFonts w:cs="Arial"/>
          <w:sz w:val="24"/>
          <w:szCs w:val="24"/>
        </w:rPr>
      </w:pPr>
      <w:r w:rsidRPr="0063599A">
        <w:rPr>
          <w:rFonts w:cs="Arial"/>
          <w:sz w:val="24"/>
          <w:szCs w:val="24"/>
        </w:rPr>
        <w:t>An escrow agent holding a residential real estate deposit under an escrow agreement requiring a good faith belief of conflicting demands in order to be awarded attorneys’ fees lacks a contractual or evidentiary basis to charge its attorney’s fees against the escrow in the absence of documented competing claims or a specific, well-supported good-faith doubt as to entitlement; a conclusory self-serving affidavit without corroborating communications cannot create a genuine issue of material fact.</w:t>
      </w:r>
    </w:p>
    <w:p w:rsidRPr="0063599A" w:rsidR="0063599A" w:rsidP="00223533" w:rsidRDefault="0063599A" w14:paraId="4CCF4828" w14:textId="77777777">
      <w:pPr>
        <w:pStyle w:val="NoSpacing"/>
        <w:rPr>
          <w:rFonts w:cs="Arial"/>
          <w:sz w:val="24"/>
          <w:szCs w:val="24"/>
        </w:rPr>
      </w:pPr>
    </w:p>
    <w:p w:rsidRPr="0063599A" w:rsidR="0063599A" w:rsidP="0063599A" w:rsidRDefault="0063599A" w14:paraId="56C90E9D" w14:textId="77777777">
      <w:pPr>
        <w:pStyle w:val="NoSpacing"/>
        <w:rPr>
          <w:rFonts w:cs="Arial"/>
          <w:sz w:val="24"/>
          <w:szCs w:val="24"/>
        </w:rPr>
      </w:pPr>
      <w:r w:rsidRPr="0063599A">
        <w:rPr>
          <w:rFonts w:cs="Arial"/>
          <w:b/>
          <w:bCs/>
          <w:sz w:val="24"/>
          <w:szCs w:val="24"/>
        </w:rPr>
        <w:t>Van Fossan v. Safe Harbor Management &amp; Advisory, LLC</w:t>
      </w:r>
      <w:r w:rsidRPr="0063599A">
        <w:rPr>
          <w:rFonts w:cs="Arial"/>
          <w:sz w:val="24"/>
          <w:szCs w:val="24"/>
        </w:rPr>
        <w:t xml:space="preserve">, Case No. 3D24-1253 (Fla. 3d DCA 2026). </w:t>
      </w:r>
    </w:p>
    <w:p w:rsidRPr="0063599A" w:rsidR="0063599A" w:rsidP="0063599A" w:rsidRDefault="0063599A" w14:paraId="65C57F4A" w14:textId="77777777">
      <w:pPr>
        <w:pStyle w:val="NoSpacing"/>
        <w:rPr>
          <w:rFonts w:cs="Arial"/>
          <w:sz w:val="24"/>
          <w:szCs w:val="24"/>
        </w:rPr>
      </w:pPr>
      <w:r w:rsidRPr="0063599A">
        <w:rPr>
          <w:rFonts w:cs="Arial"/>
          <w:sz w:val="24"/>
          <w:szCs w:val="24"/>
        </w:rPr>
        <w:t>Breach of a non-compete agreement with respect to at least two specific clients establishes a presumption of irreparable harm sufficient to support entry of a temporary injunction.</w:t>
      </w:r>
    </w:p>
    <w:p w:rsidRPr="0063599A" w:rsidR="0063599A" w:rsidP="0063599A" w:rsidRDefault="0063599A" w14:paraId="64B13849" w14:textId="77777777">
      <w:pPr>
        <w:pStyle w:val="NoSpacing"/>
        <w:rPr>
          <w:rFonts w:cs="Arial"/>
          <w:sz w:val="24"/>
          <w:szCs w:val="24"/>
        </w:rPr>
      </w:pPr>
    </w:p>
    <w:p w:rsidR="0063599A" w:rsidP="0063599A" w:rsidRDefault="0063599A" w14:paraId="34A37948" w14:textId="77777777">
      <w:pPr>
        <w:pStyle w:val="NoSpacing"/>
        <w:rPr>
          <w:rFonts w:cs="Arial"/>
          <w:b/>
          <w:bCs/>
          <w:sz w:val="24"/>
          <w:szCs w:val="24"/>
        </w:rPr>
      </w:pPr>
    </w:p>
    <w:p w:rsidR="0063599A" w:rsidP="0063599A" w:rsidRDefault="0063599A" w14:paraId="415F5829" w14:textId="77777777">
      <w:pPr>
        <w:pStyle w:val="NoSpacing"/>
        <w:rPr>
          <w:rFonts w:cs="Arial"/>
          <w:b/>
          <w:bCs/>
          <w:sz w:val="24"/>
          <w:szCs w:val="24"/>
        </w:rPr>
      </w:pPr>
    </w:p>
    <w:p w:rsidR="0063599A" w:rsidP="0063599A" w:rsidRDefault="0063599A" w14:paraId="23DF0D3A" w14:textId="77777777">
      <w:pPr>
        <w:pStyle w:val="NoSpacing"/>
        <w:rPr>
          <w:rFonts w:cs="Arial"/>
          <w:b/>
          <w:bCs/>
          <w:sz w:val="24"/>
          <w:szCs w:val="24"/>
        </w:rPr>
      </w:pPr>
    </w:p>
    <w:p w:rsidRPr="0063599A" w:rsidR="0063599A" w:rsidP="0063599A" w:rsidRDefault="0063599A" w14:paraId="7DC932C4" w14:textId="01C5FF48">
      <w:pPr>
        <w:pStyle w:val="NoSpacing"/>
        <w:rPr>
          <w:rFonts w:cs="Arial"/>
          <w:sz w:val="24"/>
          <w:szCs w:val="24"/>
        </w:rPr>
      </w:pPr>
      <w:r w:rsidRPr="0063599A">
        <w:rPr>
          <w:rFonts w:cs="Arial"/>
          <w:b/>
          <w:bCs/>
          <w:sz w:val="24"/>
          <w:szCs w:val="24"/>
        </w:rPr>
        <w:lastRenderedPageBreak/>
        <w:t>Libman v. Cardiovascular Mobile Service, Inc.</w:t>
      </w:r>
      <w:r w:rsidRPr="0063599A">
        <w:rPr>
          <w:rFonts w:cs="Arial"/>
          <w:sz w:val="24"/>
          <w:szCs w:val="24"/>
        </w:rPr>
        <w:t xml:space="preserve">, Case No. 3D24-1994 (Fla. 3d DCA 2026). </w:t>
      </w:r>
    </w:p>
    <w:p w:rsidRPr="0063599A" w:rsidR="0063599A" w:rsidP="0063599A" w:rsidRDefault="0063599A" w14:paraId="5BFF093D" w14:textId="77777777">
      <w:pPr>
        <w:pStyle w:val="NoSpacing"/>
        <w:rPr>
          <w:rFonts w:cs="Arial"/>
          <w:sz w:val="24"/>
          <w:szCs w:val="24"/>
        </w:rPr>
      </w:pPr>
      <w:r w:rsidRPr="0063599A">
        <w:rPr>
          <w:rFonts w:cs="Arial"/>
          <w:sz w:val="24"/>
          <w:szCs w:val="24"/>
        </w:rPr>
        <w:t>A retainer agreement limiting recoverable attorney's fees to collection actions or abandoned lawsuits does not authorize an award of prevailing party attorney's fees for contract enforcement, and attorney's fees may not be awarded under a statutory provision not invoked in the pleadings.</w:t>
      </w:r>
    </w:p>
    <w:p w:rsidRPr="0063599A" w:rsidR="0063599A" w:rsidP="0063599A" w:rsidRDefault="0063599A" w14:paraId="621243AC" w14:textId="77777777">
      <w:pPr>
        <w:pStyle w:val="NoSpacing"/>
        <w:rPr>
          <w:rFonts w:cs="Arial"/>
          <w:sz w:val="24"/>
          <w:szCs w:val="24"/>
        </w:rPr>
      </w:pPr>
    </w:p>
    <w:p w:rsidRPr="0063599A" w:rsidR="0063599A" w:rsidP="0063599A" w:rsidRDefault="0063599A" w14:paraId="71BB0781" w14:textId="77777777">
      <w:pPr>
        <w:pStyle w:val="NoSpacing"/>
        <w:rPr>
          <w:rFonts w:cs="Arial"/>
          <w:sz w:val="24"/>
          <w:szCs w:val="24"/>
        </w:rPr>
      </w:pPr>
      <w:r w:rsidRPr="0063599A">
        <w:rPr>
          <w:rFonts w:cs="Arial"/>
          <w:b/>
          <w:bCs/>
          <w:sz w:val="24"/>
          <w:szCs w:val="24"/>
        </w:rPr>
        <w:t>Williams v. Leesburg Regional Medical Center, Inc.</w:t>
      </w:r>
      <w:r w:rsidRPr="0063599A">
        <w:rPr>
          <w:rFonts w:cs="Arial"/>
          <w:sz w:val="24"/>
          <w:szCs w:val="24"/>
        </w:rPr>
        <w:t xml:space="preserve">, Case No. 5D2024-1910 (Fla. 5th DCA 2026). </w:t>
      </w:r>
    </w:p>
    <w:p w:rsidRPr="0063599A" w:rsidR="0063599A" w:rsidP="0063599A" w:rsidRDefault="0063599A" w14:paraId="5B8F5C93" w14:textId="77777777">
      <w:pPr>
        <w:pStyle w:val="NoSpacing"/>
        <w:rPr>
          <w:rFonts w:cs="Arial"/>
          <w:sz w:val="24"/>
          <w:szCs w:val="24"/>
        </w:rPr>
      </w:pPr>
      <w:r w:rsidRPr="0063599A">
        <w:rPr>
          <w:rFonts w:cs="Arial"/>
          <w:sz w:val="24"/>
          <w:szCs w:val="24"/>
        </w:rPr>
        <w:t>A court may make a determination based on deposition evidence to exclude expert causation testimony as lacking sufficient reliability or failing to assist the jury under Daubert and Florida Statutes section 90.702, and doing so is subject to abuse of discretion (not de novo) review on appeal</w:t>
      </w:r>
    </w:p>
    <w:p w:rsidRPr="0063599A" w:rsidR="0063599A" w:rsidP="0063599A" w:rsidRDefault="0063599A" w14:paraId="25DF53C3" w14:textId="77777777">
      <w:pPr>
        <w:pStyle w:val="NoSpacing"/>
        <w:rPr>
          <w:rFonts w:cs="Arial"/>
          <w:sz w:val="24"/>
          <w:szCs w:val="24"/>
        </w:rPr>
      </w:pPr>
    </w:p>
    <w:p w:rsidRPr="0063599A" w:rsidR="0063599A" w:rsidP="0063599A" w:rsidRDefault="0063599A" w14:paraId="039D29F3" w14:textId="77777777">
      <w:pPr>
        <w:pStyle w:val="NoSpacing"/>
        <w:rPr>
          <w:rFonts w:cs="Arial"/>
          <w:sz w:val="24"/>
          <w:szCs w:val="24"/>
        </w:rPr>
      </w:pPr>
      <w:r w:rsidRPr="0063599A">
        <w:rPr>
          <w:rFonts w:cs="Arial"/>
          <w:b/>
          <w:bCs/>
          <w:sz w:val="24"/>
          <w:szCs w:val="24"/>
        </w:rPr>
        <w:t>Roe v. NPC International, Inc.</w:t>
      </w:r>
      <w:r w:rsidRPr="0063599A">
        <w:rPr>
          <w:rFonts w:cs="Arial"/>
          <w:sz w:val="24"/>
          <w:szCs w:val="24"/>
        </w:rPr>
        <w:t>, Case No. 5D2024-2323 (Fla. 5th DCA 2026).</w:t>
      </w:r>
    </w:p>
    <w:p w:rsidRPr="0063599A" w:rsidR="0063599A" w:rsidP="0063599A" w:rsidRDefault="0063599A" w14:paraId="38EB6F74" w14:textId="77777777">
      <w:pPr>
        <w:pStyle w:val="NoSpacing"/>
        <w:rPr>
          <w:rFonts w:cs="Arial"/>
          <w:sz w:val="24"/>
          <w:szCs w:val="24"/>
        </w:rPr>
      </w:pPr>
      <w:r w:rsidRPr="0063599A">
        <w:rPr>
          <w:rFonts w:cs="Arial"/>
          <w:sz w:val="24"/>
          <w:szCs w:val="24"/>
        </w:rPr>
        <w:t>The common law Vicarious Liability Exoneration Rule (an employer can be found liable for the acts of its employee only if the employee is found liable) requires an affirmative adjudication on the merits, and a voluntary dismissal without prejudice under Florida Rule of Civil Procedure 1.420 does not constitute an adjudication on the merits when the underlying action was timely filed within the statute of limitations.</w:t>
      </w:r>
    </w:p>
    <w:p w:rsidRPr="0063599A" w:rsidR="0063599A" w:rsidP="00223533" w:rsidRDefault="0063599A" w14:paraId="4EFEAABF" w14:textId="77777777">
      <w:pPr>
        <w:pStyle w:val="NoSpacing"/>
        <w:rPr>
          <w:rFonts w:cs="Arial"/>
          <w:sz w:val="24"/>
          <w:szCs w:val="24"/>
        </w:rPr>
      </w:pPr>
    </w:p>
    <w:p w:rsidRPr="0063599A" w:rsidR="00223533" w:rsidP="00223533" w:rsidRDefault="00223533" w14:paraId="20BDD69F" w14:textId="77777777">
      <w:pPr>
        <w:pStyle w:val="NoSpacing"/>
        <w:rPr>
          <w:rFonts w:cs="Arial"/>
          <w:sz w:val="24"/>
          <w:szCs w:val="24"/>
        </w:rPr>
      </w:pPr>
    </w:p>
    <w:sectPr w:rsidRPr="0063599A" w:rsidR="002235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CD5" w:rsidP="00A7296E" w:rsidRDefault="00595CD5" w14:paraId="197F60D9" w14:textId="77777777">
      <w:pPr>
        <w:spacing w:after="0" w:line="240" w:lineRule="auto"/>
      </w:pPr>
      <w:r>
        <w:separator/>
      </w:r>
    </w:p>
  </w:endnote>
  <w:endnote w:type="continuationSeparator" w:id="0">
    <w:p w:rsidR="00595CD5" w:rsidP="00A7296E" w:rsidRDefault="00595CD5" w14:paraId="616A6C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243BB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E" w:rsidP="0059088B" w:rsidRDefault="00A7296E" w14:paraId="653DF00F" w14:textId="4B305F7B">
    <w:pPr>
      <w:pStyle w:val="Footer"/>
      <w:tabs>
        <w:tab w:val="clear" w:pos="4680"/>
        <w:tab w:val="clear" w:pos="9360"/>
        <w:tab w:val="left" w:pos="3218"/>
      </w:tabs>
    </w:pPr>
    <w:r>
      <w:rPr>
        <w:rFonts w:cs="Arial"/>
      </w:rPr>
      <w:t>©</w:t>
    </w:r>
    <w:r>
      <w:t xml:space="preserve"> Manuel Farach 20</w:t>
    </w:r>
    <w:r w:rsidR="00DB5DF7">
      <w:t>2</w:t>
    </w:r>
    <w:r w:rsidR="00F90EF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61D945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CD5" w:rsidP="00A7296E" w:rsidRDefault="00595CD5" w14:paraId="16155B5E" w14:textId="77777777">
      <w:pPr>
        <w:spacing w:after="0" w:line="240" w:lineRule="auto"/>
      </w:pPr>
      <w:r>
        <w:separator/>
      </w:r>
    </w:p>
  </w:footnote>
  <w:footnote w:type="continuationSeparator" w:id="0">
    <w:p w:rsidR="00595CD5" w:rsidP="00A7296E" w:rsidRDefault="00595CD5" w14:paraId="6D55E7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09F598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15655C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7CED96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6E"/>
    <w:rsid w:val="000021D6"/>
    <w:rsid w:val="0000275E"/>
    <w:rsid w:val="00007FB7"/>
    <w:rsid w:val="00020F58"/>
    <w:rsid w:val="00022882"/>
    <w:rsid w:val="00053439"/>
    <w:rsid w:val="00064D05"/>
    <w:rsid w:val="00067481"/>
    <w:rsid w:val="00080275"/>
    <w:rsid w:val="000A3C8E"/>
    <w:rsid w:val="000A7185"/>
    <w:rsid w:val="000B0E61"/>
    <w:rsid w:val="000C59CF"/>
    <w:rsid w:val="000E20E0"/>
    <w:rsid w:val="000E6EF0"/>
    <w:rsid w:val="00104FA8"/>
    <w:rsid w:val="0010627F"/>
    <w:rsid w:val="00126B5E"/>
    <w:rsid w:val="001307E0"/>
    <w:rsid w:val="00132250"/>
    <w:rsid w:val="0014043E"/>
    <w:rsid w:val="001737EF"/>
    <w:rsid w:val="00180CC2"/>
    <w:rsid w:val="00183C1B"/>
    <w:rsid w:val="00196698"/>
    <w:rsid w:val="001A7807"/>
    <w:rsid w:val="001C7ECE"/>
    <w:rsid w:val="001D4012"/>
    <w:rsid w:val="001E2074"/>
    <w:rsid w:val="001F2D83"/>
    <w:rsid w:val="001F3A59"/>
    <w:rsid w:val="00210F62"/>
    <w:rsid w:val="00223533"/>
    <w:rsid w:val="00225682"/>
    <w:rsid w:val="00227A19"/>
    <w:rsid w:val="00261B7E"/>
    <w:rsid w:val="00271678"/>
    <w:rsid w:val="0028316C"/>
    <w:rsid w:val="00285ACF"/>
    <w:rsid w:val="002906F5"/>
    <w:rsid w:val="002A7534"/>
    <w:rsid w:val="002C35C2"/>
    <w:rsid w:val="002E5391"/>
    <w:rsid w:val="002F4AFF"/>
    <w:rsid w:val="003015C3"/>
    <w:rsid w:val="0031327F"/>
    <w:rsid w:val="0032347C"/>
    <w:rsid w:val="00330254"/>
    <w:rsid w:val="00333FAB"/>
    <w:rsid w:val="00335840"/>
    <w:rsid w:val="00337F96"/>
    <w:rsid w:val="00350831"/>
    <w:rsid w:val="00357B6C"/>
    <w:rsid w:val="00362EA6"/>
    <w:rsid w:val="0038653D"/>
    <w:rsid w:val="00392CF3"/>
    <w:rsid w:val="003B164F"/>
    <w:rsid w:val="003B5A55"/>
    <w:rsid w:val="003E0666"/>
    <w:rsid w:val="003E0D6A"/>
    <w:rsid w:val="003E20E5"/>
    <w:rsid w:val="003E36F7"/>
    <w:rsid w:val="003F2A67"/>
    <w:rsid w:val="00400402"/>
    <w:rsid w:val="0040190D"/>
    <w:rsid w:val="00424DB0"/>
    <w:rsid w:val="004250A4"/>
    <w:rsid w:val="0042592C"/>
    <w:rsid w:val="00434477"/>
    <w:rsid w:val="00443B0E"/>
    <w:rsid w:val="00473C8F"/>
    <w:rsid w:val="004B021F"/>
    <w:rsid w:val="004B2B97"/>
    <w:rsid w:val="004B6696"/>
    <w:rsid w:val="004D2B08"/>
    <w:rsid w:val="004E2113"/>
    <w:rsid w:val="004E4501"/>
    <w:rsid w:val="004E5656"/>
    <w:rsid w:val="00505651"/>
    <w:rsid w:val="00511EB5"/>
    <w:rsid w:val="0052486D"/>
    <w:rsid w:val="00551C5C"/>
    <w:rsid w:val="00552B91"/>
    <w:rsid w:val="00560340"/>
    <w:rsid w:val="005611F5"/>
    <w:rsid w:val="005648C7"/>
    <w:rsid w:val="00570D9E"/>
    <w:rsid w:val="005738A2"/>
    <w:rsid w:val="005832F4"/>
    <w:rsid w:val="00586603"/>
    <w:rsid w:val="0059088B"/>
    <w:rsid w:val="00595CD5"/>
    <w:rsid w:val="005A5C69"/>
    <w:rsid w:val="005B2247"/>
    <w:rsid w:val="005B7621"/>
    <w:rsid w:val="005F4CB8"/>
    <w:rsid w:val="00604A56"/>
    <w:rsid w:val="00612214"/>
    <w:rsid w:val="00625C32"/>
    <w:rsid w:val="0063599A"/>
    <w:rsid w:val="00640E4A"/>
    <w:rsid w:val="006456D3"/>
    <w:rsid w:val="00660515"/>
    <w:rsid w:val="00680953"/>
    <w:rsid w:val="0069158D"/>
    <w:rsid w:val="006C40F1"/>
    <w:rsid w:val="006C5070"/>
    <w:rsid w:val="006F6ACD"/>
    <w:rsid w:val="007054CF"/>
    <w:rsid w:val="00735B48"/>
    <w:rsid w:val="00756765"/>
    <w:rsid w:val="00773DC5"/>
    <w:rsid w:val="00776669"/>
    <w:rsid w:val="007A1CFD"/>
    <w:rsid w:val="007C0E9B"/>
    <w:rsid w:val="007F2F20"/>
    <w:rsid w:val="00811897"/>
    <w:rsid w:val="008209C2"/>
    <w:rsid w:val="0083187D"/>
    <w:rsid w:val="00834BA5"/>
    <w:rsid w:val="00840833"/>
    <w:rsid w:val="008427D0"/>
    <w:rsid w:val="00850612"/>
    <w:rsid w:val="00853BF9"/>
    <w:rsid w:val="0086609C"/>
    <w:rsid w:val="008727A5"/>
    <w:rsid w:val="00890B55"/>
    <w:rsid w:val="00893494"/>
    <w:rsid w:val="008A6087"/>
    <w:rsid w:val="008B692D"/>
    <w:rsid w:val="008C6B27"/>
    <w:rsid w:val="008D3672"/>
    <w:rsid w:val="008D4D8D"/>
    <w:rsid w:val="008E0D50"/>
    <w:rsid w:val="008F5DB1"/>
    <w:rsid w:val="009022A2"/>
    <w:rsid w:val="00923D6D"/>
    <w:rsid w:val="009246E8"/>
    <w:rsid w:val="00925DBE"/>
    <w:rsid w:val="00930C8B"/>
    <w:rsid w:val="009655E0"/>
    <w:rsid w:val="009C1ABF"/>
    <w:rsid w:val="009E59EB"/>
    <w:rsid w:val="009F0A9C"/>
    <w:rsid w:val="009F7448"/>
    <w:rsid w:val="00A2109D"/>
    <w:rsid w:val="00A37DAC"/>
    <w:rsid w:val="00A4066E"/>
    <w:rsid w:val="00A4143C"/>
    <w:rsid w:val="00A568A9"/>
    <w:rsid w:val="00A7296E"/>
    <w:rsid w:val="00AC2D12"/>
    <w:rsid w:val="00AD11C9"/>
    <w:rsid w:val="00AD3B94"/>
    <w:rsid w:val="00AE3D91"/>
    <w:rsid w:val="00B104B7"/>
    <w:rsid w:val="00B26489"/>
    <w:rsid w:val="00B32636"/>
    <w:rsid w:val="00B517AA"/>
    <w:rsid w:val="00B53CE3"/>
    <w:rsid w:val="00B555F9"/>
    <w:rsid w:val="00B6274E"/>
    <w:rsid w:val="00B666EA"/>
    <w:rsid w:val="00B842BB"/>
    <w:rsid w:val="00B87A88"/>
    <w:rsid w:val="00BA301D"/>
    <w:rsid w:val="00BB18FA"/>
    <w:rsid w:val="00BF7E4B"/>
    <w:rsid w:val="00C24009"/>
    <w:rsid w:val="00C34393"/>
    <w:rsid w:val="00C40859"/>
    <w:rsid w:val="00C522DA"/>
    <w:rsid w:val="00C6235F"/>
    <w:rsid w:val="00C81A87"/>
    <w:rsid w:val="00C851D8"/>
    <w:rsid w:val="00C86E0C"/>
    <w:rsid w:val="00CB36B4"/>
    <w:rsid w:val="00CB401D"/>
    <w:rsid w:val="00CB4BDD"/>
    <w:rsid w:val="00CE34B8"/>
    <w:rsid w:val="00CF189B"/>
    <w:rsid w:val="00CF3D9C"/>
    <w:rsid w:val="00D00277"/>
    <w:rsid w:val="00D13515"/>
    <w:rsid w:val="00D16490"/>
    <w:rsid w:val="00D239AE"/>
    <w:rsid w:val="00D65F28"/>
    <w:rsid w:val="00D722AA"/>
    <w:rsid w:val="00D938D5"/>
    <w:rsid w:val="00D94217"/>
    <w:rsid w:val="00DB13EC"/>
    <w:rsid w:val="00DB5DF7"/>
    <w:rsid w:val="00DD7DAC"/>
    <w:rsid w:val="00DE15DD"/>
    <w:rsid w:val="00DF4529"/>
    <w:rsid w:val="00E039E7"/>
    <w:rsid w:val="00E06B48"/>
    <w:rsid w:val="00E14FB1"/>
    <w:rsid w:val="00E32C71"/>
    <w:rsid w:val="00E3479C"/>
    <w:rsid w:val="00E35D78"/>
    <w:rsid w:val="00E456BA"/>
    <w:rsid w:val="00E72311"/>
    <w:rsid w:val="00E819F4"/>
    <w:rsid w:val="00EA1545"/>
    <w:rsid w:val="00EA7B0B"/>
    <w:rsid w:val="00EA7CAD"/>
    <w:rsid w:val="00EB13C1"/>
    <w:rsid w:val="00EB149E"/>
    <w:rsid w:val="00EB7AFD"/>
    <w:rsid w:val="00EC22D0"/>
    <w:rsid w:val="00EC57E1"/>
    <w:rsid w:val="00F348E0"/>
    <w:rsid w:val="00F4216C"/>
    <w:rsid w:val="00F6346E"/>
    <w:rsid w:val="00F63F8B"/>
    <w:rsid w:val="00F80D49"/>
    <w:rsid w:val="00F8210B"/>
    <w:rsid w:val="00F90EFC"/>
    <w:rsid w:val="00F923FB"/>
    <w:rsid w:val="00F974ED"/>
    <w:rsid w:val="00FA0E88"/>
    <w:rsid w:val="00FA28B5"/>
    <w:rsid w:val="00FA42DE"/>
    <w:rsid w:val="00FB38D0"/>
    <w:rsid w:val="00FC3CFA"/>
    <w:rsid w:val="00FD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0AE"/>
  <w15:chartTrackingRefBased/>
  <w15:docId w15:val="{209BBE45-8972-4E61-800E-7878BE6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A7296E"/>
    <w:pPr>
      <w:spacing w:after="0" w:line="240" w:lineRule="auto"/>
    </w:pPr>
    <w:rPr>
      <w:rFonts w:eastAsia="Times New Roman" w:cs="Times New Roman"/>
      <w:sz w:val="20"/>
      <w:szCs w:val="20"/>
    </w:rPr>
  </w:style>
  <w:style w:type="paragraph" w:styleId="Header">
    <w:name w:val="header"/>
    <w:basedOn w:val="Normal"/>
    <w:link w:val="HeaderChar"/>
    <w:uiPriority w:val="99"/>
    <w:unhideWhenUsed/>
    <w:rsid w:val="00A729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296E"/>
  </w:style>
  <w:style w:type="paragraph" w:styleId="Footer">
    <w:name w:val="footer"/>
    <w:basedOn w:val="Normal"/>
    <w:link w:val="FooterChar"/>
    <w:uiPriority w:val="99"/>
    <w:unhideWhenUsed/>
    <w:rsid w:val="00A729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296E"/>
  </w:style>
  <w:style w:type="character" w:styleId="Hyperlink">
    <w:name w:val="Hyperlink"/>
    <w:basedOn w:val="DefaultParagraphFont"/>
    <w:uiPriority w:val="99"/>
    <w:unhideWhenUsed/>
    <w:rsid w:val="00DE15DD"/>
    <w:rPr>
      <w:color w:val="0563C1" w:themeColor="hyperlink"/>
      <w:u w:val="single"/>
    </w:rPr>
  </w:style>
  <w:style w:type="character" w:styleId="FollowedHyperlink">
    <w:name w:val="FollowedHyperlink"/>
    <w:basedOn w:val="DefaultParagraphFont"/>
    <w:uiPriority w:val="99"/>
    <w:semiHidden/>
    <w:unhideWhenUsed/>
    <w:rsid w:val="00126B5E"/>
    <w:rPr>
      <w:color w:val="954F72" w:themeColor="followedHyperlink"/>
      <w:u w:val="single"/>
    </w:rPr>
  </w:style>
  <w:style w:type="paragraph" w:styleId="paragraph" w:customStyle="1">
    <w:name w:val="paragraph"/>
    <w:basedOn w:val="Normal"/>
    <w:rsid w:val="00604A5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04A56"/>
  </w:style>
  <w:style w:type="character" w:styleId="eop" w:customStyle="1">
    <w:name w:val="eop"/>
    <w:basedOn w:val="DefaultParagraphFont"/>
    <w:rsid w:val="0060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8921">
      <w:bodyDiv w:val="1"/>
      <w:marLeft w:val="0"/>
      <w:marRight w:val="0"/>
      <w:marTop w:val="0"/>
      <w:marBottom w:val="0"/>
      <w:divBdr>
        <w:top w:val="none" w:sz="0" w:space="0" w:color="auto"/>
        <w:left w:val="none" w:sz="0" w:space="0" w:color="auto"/>
        <w:bottom w:val="none" w:sz="0" w:space="0" w:color="auto"/>
        <w:right w:val="none" w:sz="0" w:space="0" w:color="auto"/>
      </w:divBdr>
    </w:div>
    <w:div w:id="323708983">
      <w:bodyDiv w:val="1"/>
      <w:marLeft w:val="0"/>
      <w:marRight w:val="0"/>
      <w:marTop w:val="0"/>
      <w:marBottom w:val="0"/>
      <w:divBdr>
        <w:top w:val="none" w:sz="0" w:space="0" w:color="auto"/>
        <w:left w:val="none" w:sz="0" w:space="0" w:color="auto"/>
        <w:bottom w:val="none" w:sz="0" w:space="0" w:color="auto"/>
        <w:right w:val="none" w:sz="0" w:space="0" w:color="auto"/>
      </w:divBdr>
    </w:div>
    <w:div w:id="325941253">
      <w:bodyDiv w:val="1"/>
      <w:marLeft w:val="0"/>
      <w:marRight w:val="0"/>
      <w:marTop w:val="0"/>
      <w:marBottom w:val="0"/>
      <w:divBdr>
        <w:top w:val="none" w:sz="0" w:space="0" w:color="auto"/>
        <w:left w:val="none" w:sz="0" w:space="0" w:color="auto"/>
        <w:bottom w:val="none" w:sz="0" w:space="0" w:color="auto"/>
        <w:right w:val="none" w:sz="0" w:space="0" w:color="auto"/>
      </w:divBdr>
    </w:div>
    <w:div w:id="363284954">
      <w:bodyDiv w:val="1"/>
      <w:marLeft w:val="0"/>
      <w:marRight w:val="0"/>
      <w:marTop w:val="0"/>
      <w:marBottom w:val="0"/>
      <w:divBdr>
        <w:top w:val="none" w:sz="0" w:space="0" w:color="auto"/>
        <w:left w:val="none" w:sz="0" w:space="0" w:color="auto"/>
        <w:bottom w:val="none" w:sz="0" w:space="0" w:color="auto"/>
        <w:right w:val="none" w:sz="0" w:space="0" w:color="auto"/>
      </w:divBdr>
    </w:div>
    <w:div w:id="504591751">
      <w:bodyDiv w:val="1"/>
      <w:marLeft w:val="0"/>
      <w:marRight w:val="0"/>
      <w:marTop w:val="0"/>
      <w:marBottom w:val="0"/>
      <w:divBdr>
        <w:top w:val="none" w:sz="0" w:space="0" w:color="auto"/>
        <w:left w:val="none" w:sz="0" w:space="0" w:color="auto"/>
        <w:bottom w:val="none" w:sz="0" w:space="0" w:color="auto"/>
        <w:right w:val="none" w:sz="0" w:space="0" w:color="auto"/>
      </w:divBdr>
    </w:div>
    <w:div w:id="509107439">
      <w:bodyDiv w:val="1"/>
      <w:marLeft w:val="0"/>
      <w:marRight w:val="0"/>
      <w:marTop w:val="0"/>
      <w:marBottom w:val="0"/>
      <w:divBdr>
        <w:top w:val="none" w:sz="0" w:space="0" w:color="auto"/>
        <w:left w:val="none" w:sz="0" w:space="0" w:color="auto"/>
        <w:bottom w:val="none" w:sz="0" w:space="0" w:color="auto"/>
        <w:right w:val="none" w:sz="0" w:space="0" w:color="auto"/>
      </w:divBdr>
    </w:div>
    <w:div w:id="541744811">
      <w:bodyDiv w:val="1"/>
      <w:marLeft w:val="0"/>
      <w:marRight w:val="0"/>
      <w:marTop w:val="0"/>
      <w:marBottom w:val="0"/>
      <w:divBdr>
        <w:top w:val="none" w:sz="0" w:space="0" w:color="auto"/>
        <w:left w:val="none" w:sz="0" w:space="0" w:color="auto"/>
        <w:bottom w:val="none" w:sz="0" w:space="0" w:color="auto"/>
        <w:right w:val="none" w:sz="0" w:space="0" w:color="auto"/>
      </w:divBdr>
    </w:div>
    <w:div w:id="574632984">
      <w:bodyDiv w:val="1"/>
      <w:marLeft w:val="0"/>
      <w:marRight w:val="0"/>
      <w:marTop w:val="0"/>
      <w:marBottom w:val="0"/>
      <w:divBdr>
        <w:top w:val="none" w:sz="0" w:space="0" w:color="auto"/>
        <w:left w:val="none" w:sz="0" w:space="0" w:color="auto"/>
        <w:bottom w:val="none" w:sz="0" w:space="0" w:color="auto"/>
        <w:right w:val="none" w:sz="0" w:space="0" w:color="auto"/>
      </w:divBdr>
    </w:div>
    <w:div w:id="635793720">
      <w:bodyDiv w:val="1"/>
      <w:marLeft w:val="0"/>
      <w:marRight w:val="0"/>
      <w:marTop w:val="0"/>
      <w:marBottom w:val="0"/>
      <w:divBdr>
        <w:top w:val="none" w:sz="0" w:space="0" w:color="auto"/>
        <w:left w:val="none" w:sz="0" w:space="0" w:color="auto"/>
        <w:bottom w:val="none" w:sz="0" w:space="0" w:color="auto"/>
        <w:right w:val="none" w:sz="0" w:space="0" w:color="auto"/>
      </w:divBdr>
    </w:div>
    <w:div w:id="657419970">
      <w:bodyDiv w:val="1"/>
      <w:marLeft w:val="0"/>
      <w:marRight w:val="0"/>
      <w:marTop w:val="0"/>
      <w:marBottom w:val="0"/>
      <w:divBdr>
        <w:top w:val="none" w:sz="0" w:space="0" w:color="auto"/>
        <w:left w:val="none" w:sz="0" w:space="0" w:color="auto"/>
        <w:bottom w:val="none" w:sz="0" w:space="0" w:color="auto"/>
        <w:right w:val="none" w:sz="0" w:space="0" w:color="auto"/>
      </w:divBdr>
    </w:div>
    <w:div w:id="707990737">
      <w:bodyDiv w:val="1"/>
      <w:marLeft w:val="0"/>
      <w:marRight w:val="0"/>
      <w:marTop w:val="0"/>
      <w:marBottom w:val="0"/>
      <w:divBdr>
        <w:top w:val="none" w:sz="0" w:space="0" w:color="auto"/>
        <w:left w:val="none" w:sz="0" w:space="0" w:color="auto"/>
        <w:bottom w:val="none" w:sz="0" w:space="0" w:color="auto"/>
        <w:right w:val="none" w:sz="0" w:space="0" w:color="auto"/>
      </w:divBdr>
    </w:div>
    <w:div w:id="709645721">
      <w:bodyDiv w:val="1"/>
      <w:marLeft w:val="0"/>
      <w:marRight w:val="0"/>
      <w:marTop w:val="0"/>
      <w:marBottom w:val="0"/>
      <w:divBdr>
        <w:top w:val="none" w:sz="0" w:space="0" w:color="auto"/>
        <w:left w:val="none" w:sz="0" w:space="0" w:color="auto"/>
        <w:bottom w:val="none" w:sz="0" w:space="0" w:color="auto"/>
        <w:right w:val="none" w:sz="0" w:space="0" w:color="auto"/>
      </w:divBdr>
    </w:div>
    <w:div w:id="805438054">
      <w:bodyDiv w:val="1"/>
      <w:marLeft w:val="0"/>
      <w:marRight w:val="0"/>
      <w:marTop w:val="0"/>
      <w:marBottom w:val="0"/>
      <w:divBdr>
        <w:top w:val="none" w:sz="0" w:space="0" w:color="auto"/>
        <w:left w:val="none" w:sz="0" w:space="0" w:color="auto"/>
        <w:bottom w:val="none" w:sz="0" w:space="0" w:color="auto"/>
        <w:right w:val="none" w:sz="0" w:space="0" w:color="auto"/>
      </w:divBdr>
    </w:div>
    <w:div w:id="886263168">
      <w:bodyDiv w:val="1"/>
      <w:marLeft w:val="0"/>
      <w:marRight w:val="0"/>
      <w:marTop w:val="0"/>
      <w:marBottom w:val="0"/>
      <w:divBdr>
        <w:top w:val="none" w:sz="0" w:space="0" w:color="auto"/>
        <w:left w:val="none" w:sz="0" w:space="0" w:color="auto"/>
        <w:bottom w:val="none" w:sz="0" w:space="0" w:color="auto"/>
        <w:right w:val="none" w:sz="0" w:space="0" w:color="auto"/>
      </w:divBdr>
    </w:div>
    <w:div w:id="891162587">
      <w:bodyDiv w:val="1"/>
      <w:marLeft w:val="0"/>
      <w:marRight w:val="0"/>
      <w:marTop w:val="0"/>
      <w:marBottom w:val="0"/>
      <w:divBdr>
        <w:top w:val="none" w:sz="0" w:space="0" w:color="auto"/>
        <w:left w:val="none" w:sz="0" w:space="0" w:color="auto"/>
        <w:bottom w:val="none" w:sz="0" w:space="0" w:color="auto"/>
        <w:right w:val="none" w:sz="0" w:space="0" w:color="auto"/>
      </w:divBdr>
    </w:div>
    <w:div w:id="1329090902">
      <w:bodyDiv w:val="1"/>
      <w:marLeft w:val="0"/>
      <w:marRight w:val="0"/>
      <w:marTop w:val="0"/>
      <w:marBottom w:val="0"/>
      <w:divBdr>
        <w:top w:val="none" w:sz="0" w:space="0" w:color="auto"/>
        <w:left w:val="none" w:sz="0" w:space="0" w:color="auto"/>
        <w:bottom w:val="none" w:sz="0" w:space="0" w:color="auto"/>
        <w:right w:val="none" w:sz="0" w:space="0" w:color="auto"/>
      </w:divBdr>
    </w:div>
    <w:div w:id="1359354674">
      <w:bodyDiv w:val="1"/>
      <w:marLeft w:val="0"/>
      <w:marRight w:val="0"/>
      <w:marTop w:val="0"/>
      <w:marBottom w:val="0"/>
      <w:divBdr>
        <w:top w:val="none" w:sz="0" w:space="0" w:color="auto"/>
        <w:left w:val="none" w:sz="0" w:space="0" w:color="auto"/>
        <w:bottom w:val="none" w:sz="0" w:space="0" w:color="auto"/>
        <w:right w:val="none" w:sz="0" w:space="0" w:color="auto"/>
      </w:divBdr>
    </w:div>
    <w:div w:id="1385366954">
      <w:bodyDiv w:val="1"/>
      <w:marLeft w:val="0"/>
      <w:marRight w:val="0"/>
      <w:marTop w:val="0"/>
      <w:marBottom w:val="0"/>
      <w:divBdr>
        <w:top w:val="none" w:sz="0" w:space="0" w:color="auto"/>
        <w:left w:val="none" w:sz="0" w:space="0" w:color="auto"/>
        <w:bottom w:val="none" w:sz="0" w:space="0" w:color="auto"/>
        <w:right w:val="none" w:sz="0" w:space="0" w:color="auto"/>
      </w:divBdr>
    </w:div>
    <w:div w:id="1508598643">
      <w:bodyDiv w:val="1"/>
      <w:marLeft w:val="0"/>
      <w:marRight w:val="0"/>
      <w:marTop w:val="0"/>
      <w:marBottom w:val="0"/>
      <w:divBdr>
        <w:top w:val="none" w:sz="0" w:space="0" w:color="auto"/>
        <w:left w:val="none" w:sz="0" w:space="0" w:color="auto"/>
        <w:bottom w:val="none" w:sz="0" w:space="0" w:color="auto"/>
        <w:right w:val="none" w:sz="0" w:space="0" w:color="auto"/>
      </w:divBdr>
    </w:div>
    <w:div w:id="1588153795">
      <w:bodyDiv w:val="1"/>
      <w:marLeft w:val="0"/>
      <w:marRight w:val="0"/>
      <w:marTop w:val="0"/>
      <w:marBottom w:val="0"/>
      <w:divBdr>
        <w:top w:val="none" w:sz="0" w:space="0" w:color="auto"/>
        <w:left w:val="none" w:sz="0" w:space="0" w:color="auto"/>
        <w:bottom w:val="none" w:sz="0" w:space="0" w:color="auto"/>
        <w:right w:val="none" w:sz="0" w:space="0" w:color="auto"/>
      </w:divBdr>
    </w:div>
    <w:div w:id="1590581175">
      <w:bodyDiv w:val="1"/>
      <w:marLeft w:val="0"/>
      <w:marRight w:val="0"/>
      <w:marTop w:val="0"/>
      <w:marBottom w:val="0"/>
      <w:divBdr>
        <w:top w:val="none" w:sz="0" w:space="0" w:color="auto"/>
        <w:left w:val="none" w:sz="0" w:space="0" w:color="auto"/>
        <w:bottom w:val="none" w:sz="0" w:space="0" w:color="auto"/>
        <w:right w:val="none" w:sz="0" w:space="0" w:color="auto"/>
      </w:divBdr>
    </w:div>
    <w:div w:id="1608806742">
      <w:bodyDiv w:val="1"/>
      <w:marLeft w:val="0"/>
      <w:marRight w:val="0"/>
      <w:marTop w:val="0"/>
      <w:marBottom w:val="0"/>
      <w:divBdr>
        <w:top w:val="none" w:sz="0" w:space="0" w:color="auto"/>
        <w:left w:val="none" w:sz="0" w:space="0" w:color="auto"/>
        <w:bottom w:val="none" w:sz="0" w:space="0" w:color="auto"/>
        <w:right w:val="none" w:sz="0" w:space="0" w:color="auto"/>
      </w:divBdr>
    </w:div>
    <w:div w:id="1616979597">
      <w:bodyDiv w:val="1"/>
      <w:marLeft w:val="0"/>
      <w:marRight w:val="0"/>
      <w:marTop w:val="0"/>
      <w:marBottom w:val="0"/>
      <w:divBdr>
        <w:top w:val="none" w:sz="0" w:space="0" w:color="auto"/>
        <w:left w:val="none" w:sz="0" w:space="0" w:color="auto"/>
        <w:bottom w:val="none" w:sz="0" w:space="0" w:color="auto"/>
        <w:right w:val="none" w:sz="0" w:space="0" w:color="auto"/>
      </w:divBdr>
    </w:div>
    <w:div w:id="1720665823">
      <w:bodyDiv w:val="1"/>
      <w:marLeft w:val="0"/>
      <w:marRight w:val="0"/>
      <w:marTop w:val="0"/>
      <w:marBottom w:val="0"/>
      <w:divBdr>
        <w:top w:val="none" w:sz="0" w:space="0" w:color="auto"/>
        <w:left w:val="none" w:sz="0" w:space="0" w:color="auto"/>
        <w:bottom w:val="none" w:sz="0" w:space="0" w:color="auto"/>
        <w:right w:val="none" w:sz="0" w:space="0" w:color="auto"/>
      </w:divBdr>
    </w:div>
    <w:div w:id="1786536865">
      <w:bodyDiv w:val="1"/>
      <w:marLeft w:val="0"/>
      <w:marRight w:val="0"/>
      <w:marTop w:val="0"/>
      <w:marBottom w:val="0"/>
      <w:divBdr>
        <w:top w:val="none" w:sz="0" w:space="0" w:color="auto"/>
        <w:left w:val="none" w:sz="0" w:space="0" w:color="auto"/>
        <w:bottom w:val="none" w:sz="0" w:space="0" w:color="auto"/>
        <w:right w:val="none" w:sz="0" w:space="0" w:color="auto"/>
      </w:divBdr>
    </w:div>
    <w:div w:id="20159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